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7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成都市青羊</w:t>
      </w:r>
      <w:r>
        <w:rPr>
          <w:rFonts w:ascii="方正小标宋_GBK" w:eastAsia="方正小标宋_GBK"/>
          <w:sz w:val="44"/>
          <w:szCs w:val="44"/>
        </w:rPr>
        <w:t>区</w:t>
      </w:r>
      <w:r>
        <w:rPr>
          <w:rFonts w:ascii="方正小标宋_GBK" w:eastAsia="方正小标宋_GBK" w:hint="eastAsia"/>
          <w:sz w:val="44"/>
          <w:szCs w:val="44"/>
        </w:rPr>
        <w:t>规划和自然资源局</w:t>
      </w:r>
    </w:p>
    <w:p>
      <w:pPr>
        <w:spacing w:line="7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国土政策法规信访专项项目绩效自评报告</w:t>
      </w:r>
    </w:p>
    <w:p>
      <w:pPr>
        <w:pStyle w:val="18"/>
        <w:spacing w:line="740" w:lineRule="exact"/>
        <w:jc w:val="center"/>
        <w:rPr>
          <w:rFonts w:ascii="方正小标宋_GBK" w:eastAsia="方正小标宋_GBK" w:cs="Times New Roman" w:hint="eastAsia"/>
          <w:color w:val="auto"/>
          <w:kern w:val="2"/>
          <w:sz w:val="44"/>
          <w:szCs w:val="44"/>
        </w:rPr>
      </w:pPr>
      <w:r>
        <w:rPr>
          <w:rFonts w:ascii="方正小标宋_GBK" w:eastAsia="方正小标宋_GBK" w:cs="Times New Roman" w:hint="eastAsia"/>
          <w:color w:val="auto"/>
          <w:kern w:val="2"/>
          <w:sz w:val="44"/>
          <w:szCs w:val="44"/>
        </w:rPr>
        <w:t>（评价年度：</w:t>
      </w:r>
      <w:r>
        <w:rPr>
          <w:rFonts w:ascii="Times New Roman" w:eastAsia="方正小标宋_GBK" w:cs="Times New Roman" w:hAnsi="Times New Roman"/>
          <w:color w:val="auto"/>
          <w:kern w:val="2"/>
          <w:sz w:val="44"/>
          <w:szCs w:val="44"/>
        </w:rPr>
        <w:t>2018</w:t>
      </w:r>
      <w:r>
        <w:rPr>
          <w:rFonts w:ascii="方正小标宋_GBK" w:eastAsia="方正小标宋_GBK" w:cs="Times New Roman" w:hint="eastAsia"/>
          <w:color w:val="auto"/>
          <w:kern w:val="2"/>
          <w:sz w:val="44"/>
          <w:szCs w:val="44"/>
        </w:rPr>
        <w:t>年）</w:t>
      </w:r>
    </w:p>
    <w:p>
      <w:pPr>
        <w:pStyle w:val="18"/>
        <w:spacing w:line="490" w:lineRule="exact"/>
        <w:ind w:firstLineChars="200" w:firstLine="560"/>
        <w:jc w:val="center"/>
        <w:rPr>
          <w:rFonts w:ascii="仿宋_GB2312" w:eastAsia="仿宋_GB2312" w:cs="Times New Roman" w:hint="eastAsia"/>
          <w:color w:val="auto"/>
          <w:kern w:val="2"/>
          <w:szCs w:val="28"/>
        </w:rPr>
      </w:pPr>
    </w:p>
    <w:p>
      <w:pPr>
        <w:adjustRightInd w:val="0"/>
        <w:snapToGrid w:val="0"/>
        <w:spacing w:line="450" w:lineRule="exact"/>
        <w:ind w:left="0" w:firstLineChars="200" w:firstLine="640"/>
        <w:rPr>
          <w:rFonts w:ascii="方正黑体_GBK" w:eastAsia="方正黑体_GBK" w:hint="eastAsia"/>
          <w:sz w:val="32"/>
          <w:szCs w:val="32"/>
          <w:lang w:val="zh-CN"/>
        </w:rPr>
      </w:pPr>
      <w:r>
        <w:rPr>
          <w:rFonts w:ascii="方正黑体_GBK" w:eastAsia="方正黑体_GBK" w:hint="eastAsia"/>
          <w:sz w:val="32"/>
          <w:szCs w:val="32"/>
        </w:rPr>
        <w:t>一、</w:t>
      </w:r>
      <w:r>
        <w:rPr>
          <w:rFonts w:ascii="方正黑体_GBK" w:eastAsia="方正黑体_GBK" w:hint="eastAsia"/>
          <w:sz w:val="32"/>
          <w:szCs w:val="32"/>
          <w:lang w:val="zh-CN"/>
        </w:rPr>
        <w:t>项目概况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“国土政策法规信访”专项项目是针对解决征地拆迁后续引发的纠纷，依法处理复杂的信息公开及信访案件回复，达到申请人息诉息访的根本目的，减少部门行政纠纷及不必要的经济损失。根据《律师法》、《四川省律师服务收费管理实施办法》、《中华人民共和国政府信息公开条例》、《信访条例》等规定实施并落实相关费用。本年初财政批复预算8万元，中途未调整资金，共计使用79707.76元，剩余292.24元，由财政统一收回，无结转结余情况。</w:t>
      </w:r>
    </w:p>
    <w:p>
      <w:pPr>
        <w:adjustRightInd w:val="0"/>
        <w:snapToGrid w:val="0"/>
        <w:spacing w:line="450" w:lineRule="exact"/>
        <w:ind w:left="0" w:firstLineChars="200" w:firstLine="640"/>
        <w:rPr>
          <w:rFonts w:ascii="方正黑体_GBK" w:eastAsia="方正黑体_GBK" w:hint="eastAsia"/>
          <w:sz w:val="32"/>
          <w:szCs w:val="32"/>
          <w:lang w:val="zh-CN"/>
        </w:rPr>
      </w:pPr>
      <w:r>
        <w:rPr>
          <w:rFonts w:ascii="方正黑体_GBK" w:eastAsia="方正黑体_GBK" w:hint="eastAsia"/>
          <w:sz w:val="32"/>
          <w:szCs w:val="32"/>
          <w:lang w:val="zh-CN"/>
        </w:rPr>
        <w:t>二、项目实施及管理情况</w:t>
      </w:r>
    </w:p>
    <w:p>
      <w:pPr>
        <w:adjustRightInd w:val="0"/>
        <w:snapToGrid w:val="0"/>
        <w:spacing w:line="450" w:lineRule="exact"/>
        <w:ind w:firstLineChars="200" w:firstLine="640"/>
        <w:rPr>
          <w:rFonts w:ascii="方正楷体_GBK" w:eastAsia="方正楷体_GBK" w:hint="eastAsia"/>
          <w:sz w:val="32"/>
          <w:szCs w:val="32"/>
          <w:lang w:val="zh-CN"/>
        </w:rPr>
      </w:pPr>
      <w:r>
        <w:rPr>
          <w:rFonts w:ascii="方正楷体_GBK" w:eastAsia="方正楷体_GBK" w:hint="eastAsia"/>
          <w:sz w:val="32"/>
          <w:szCs w:val="32"/>
          <w:lang w:val="zh-CN"/>
        </w:rPr>
        <w:t>（一）资金管理情况。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lang w:val="zh-CN"/>
        </w:rPr>
        <w:t>1.</w:t>
      </w:r>
      <w:r>
        <w:rPr>
          <w:rFonts w:eastAsia="方正仿宋_GBK"/>
          <w:sz w:val="32"/>
          <w:szCs w:val="32"/>
        </w:rPr>
        <w:t>制度建设及执行情况。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项目资金拨付需合同、发票、审批等实施手续齐全才予以申报用款计划，资金支付依据和各项开支标准符合相关规定。项目执行根据实际情况进行专项专用，执行率达到99%，未造成资金安排不合理的现象。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2.资金使用情况。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资金使用范围采用专款专用，对项目资金收支进行了单独归集核算，项目资金用于支付年度法律顾问费和行政诉讼费、宣传日资料订购费发放。</w:t>
      </w:r>
    </w:p>
    <w:p>
      <w:pPr>
        <w:adjustRightInd w:val="0"/>
        <w:snapToGrid w:val="0"/>
        <w:spacing w:line="450" w:lineRule="exact"/>
        <w:ind w:firstLineChars="200" w:firstLine="640"/>
        <w:rPr>
          <w:rFonts w:ascii="方正楷体_GBK" w:eastAsia="方正楷体_GBK" w:hint="eastAsia"/>
          <w:sz w:val="32"/>
          <w:szCs w:val="32"/>
          <w:lang w:val="zh-CN"/>
        </w:rPr>
      </w:pPr>
      <w:r>
        <w:rPr>
          <w:rFonts w:ascii="方正楷体_GBK" w:eastAsia="方正楷体_GBK" w:hint="eastAsia"/>
          <w:sz w:val="32"/>
          <w:szCs w:val="32"/>
          <w:lang w:val="zh-CN"/>
        </w:rPr>
        <w:t>（二）组织实施情况。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严格按照制度规定，项目组织实施对照年初拟定的项目规划、实施计划，评价实施进度有序合理。根据相关法律法规有效的完成各项目的支出。</w:t>
      </w:r>
    </w:p>
    <w:p>
      <w:pPr>
        <w:adjustRightInd w:val="0"/>
        <w:snapToGrid w:val="0"/>
        <w:spacing w:line="450" w:lineRule="exact"/>
        <w:ind w:left="0" w:firstLineChars="200" w:firstLine="640"/>
        <w:rPr>
          <w:rFonts w:ascii="方正黑体_GBK" w:eastAsia="方正黑体_GBK" w:hint="eastAsia"/>
          <w:sz w:val="32"/>
          <w:szCs w:val="32"/>
          <w:lang w:val="zh-CN"/>
        </w:rPr>
      </w:pPr>
      <w:r>
        <w:rPr>
          <w:rFonts w:ascii="方正黑体_GBK" w:eastAsia="方正黑体_GBK" w:hint="eastAsia"/>
          <w:sz w:val="32"/>
          <w:szCs w:val="32"/>
          <w:lang w:val="zh-CN"/>
        </w:rPr>
        <w:t>三、项目绩效情况</w:t>
        <w:tab/>
      </w:r>
    </w:p>
    <w:p>
      <w:pPr>
        <w:adjustRightInd w:val="0"/>
        <w:snapToGrid w:val="0"/>
        <w:spacing w:line="450" w:lineRule="exact"/>
        <w:ind w:firstLineChars="200" w:firstLine="640"/>
        <w:rPr>
          <w:rFonts w:ascii="方正楷体_GBK" w:eastAsia="方正楷体_GBK" w:hint="eastAsia"/>
          <w:sz w:val="32"/>
          <w:szCs w:val="32"/>
          <w:lang w:val="zh-CN"/>
        </w:rPr>
      </w:pPr>
      <w:r>
        <w:rPr>
          <w:rFonts w:ascii="方正楷体_GBK" w:eastAsia="方正楷体_GBK" w:hint="eastAsia"/>
          <w:sz w:val="32"/>
          <w:szCs w:val="32"/>
          <w:lang w:val="zh-CN"/>
        </w:rPr>
        <w:t>（一）目标完成情况。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截止2018年12月31日，项目各阶段都能按预定计划完成，对照项目绩效目标，聘请法律顾问2名，支付年度法律顾问费及（非）信息公开案件律师代理费、宣传资料订购费、邮寄费、信访专网光纤费元共计79707.76元。</w:t>
      </w:r>
    </w:p>
    <w:p>
      <w:pPr>
        <w:adjustRightInd w:val="0"/>
        <w:snapToGrid w:val="0"/>
        <w:spacing w:line="450" w:lineRule="exact"/>
        <w:ind w:firstLineChars="200" w:firstLine="640"/>
        <w:rPr>
          <w:rFonts w:ascii="方正楷体_GBK" w:eastAsia="方正楷体_GBK" w:hint="eastAsia"/>
          <w:sz w:val="32"/>
          <w:szCs w:val="32"/>
          <w:lang w:val="zh-CN"/>
        </w:rPr>
      </w:pPr>
      <w:r>
        <w:rPr>
          <w:rFonts w:ascii="方正楷体_GBK" w:eastAsia="方正楷体_GBK" w:hint="eastAsia"/>
          <w:sz w:val="32"/>
          <w:szCs w:val="32"/>
          <w:lang w:val="zh-CN"/>
        </w:rPr>
        <w:t>（二）项目效益情况。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依法处理疑难信访案件及信息公开的法律意见和建议。解决征地拆迁后续引发的纠纷，依法处理复杂的信息公开及信访案件回复，达到申请人息诉息访的根本目的，减少部门行政纠纷及不必要的经济损失。</w:t>
      </w:r>
    </w:p>
    <w:p>
      <w:pPr>
        <w:adjustRightInd w:val="0"/>
        <w:snapToGrid w:val="0"/>
        <w:spacing w:line="450" w:lineRule="exact"/>
        <w:ind w:firstLineChars="200" w:firstLine="640"/>
        <w:rPr>
          <w:rFonts w:ascii="方正楷体_GBK" w:eastAsia="方正楷体_GBK" w:hint="eastAsia"/>
          <w:sz w:val="32"/>
          <w:szCs w:val="32"/>
          <w:lang w:val="zh-CN"/>
        </w:rPr>
      </w:pPr>
      <w:r>
        <w:rPr>
          <w:rFonts w:ascii="方正楷体_GBK" w:eastAsia="方正楷体_GBK" w:hint="eastAsia"/>
          <w:sz w:val="32"/>
          <w:szCs w:val="32"/>
          <w:lang w:val="zh-CN"/>
        </w:rPr>
        <w:t>（三）绩效管理情况。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szCs w:val="32"/>
          <w:lang w:val="zh-CN"/>
        </w:rPr>
        <w:t>定期对资金使用情况进行检查,严格确保项目质量;按财务管理规定执行,符合有关财务会计管理规定。</w:t>
      </w:r>
    </w:p>
    <w:p>
      <w:pPr>
        <w:adjustRightInd w:val="0"/>
        <w:snapToGrid w:val="0"/>
        <w:spacing w:line="450" w:lineRule="exact"/>
        <w:ind w:left="0" w:firstLineChars="200" w:firstLine="640"/>
        <w:rPr>
          <w:rFonts w:ascii="方正黑体_GBK" w:eastAsia="方正黑体_GBK" w:hint="eastAsia"/>
          <w:sz w:val="32"/>
          <w:szCs w:val="32"/>
          <w:lang w:val="zh-CN"/>
        </w:rPr>
      </w:pPr>
      <w:r>
        <w:rPr>
          <w:rFonts w:ascii="方正黑体_GBK" w:eastAsia="方正黑体_GBK" w:hint="eastAsia"/>
          <w:sz w:val="32"/>
          <w:szCs w:val="32"/>
          <w:lang w:val="zh-CN"/>
        </w:rPr>
        <w:t>四、评价结论及自评得分情况</w:t>
      </w:r>
    </w:p>
    <w:p>
      <w:pPr>
        <w:numPr>
          <w:ilvl w:val="0"/>
          <w:numId w:val="1"/>
        </w:numPr>
        <w:adjustRightInd w:val="0"/>
        <w:snapToGrid w:val="0"/>
        <w:spacing w:line="450" w:lineRule="exact"/>
        <w:rPr>
          <w:rFonts w:eastAsia="方正楷体_GBK"/>
          <w:bCs/>
          <w:sz w:val="32"/>
          <w:szCs w:val="32"/>
          <w:lang w:val="zh-CN"/>
        </w:rPr>
      </w:pPr>
      <w:r>
        <w:rPr>
          <w:rFonts w:eastAsia="方正楷体_GBK"/>
          <w:bCs/>
          <w:sz w:val="32"/>
          <w:szCs w:val="32"/>
          <w:lang w:val="zh-CN"/>
        </w:rPr>
        <w:t>项目决策20分，自评得分20分。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1. “目标内容”总分10分，自评得分10分。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2．“目标匹配”总分5分，自评得分5分。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3.“可行性”总分3分，自评得分3分。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4.“调整次数”总分2分，自评得分2分。</w:t>
      </w:r>
    </w:p>
    <w:p>
      <w:pPr>
        <w:numPr>
          <w:ilvl w:val="0"/>
          <w:numId w:val="1"/>
        </w:numPr>
        <w:adjustRightInd w:val="0"/>
        <w:snapToGrid w:val="0"/>
        <w:spacing w:line="450" w:lineRule="exact"/>
        <w:rPr>
          <w:rFonts w:eastAsia="方正楷体_GBK"/>
          <w:bCs/>
          <w:sz w:val="32"/>
          <w:szCs w:val="32"/>
          <w:lang w:val="zh-CN"/>
        </w:rPr>
      </w:pPr>
      <w:r>
        <w:rPr>
          <w:rFonts w:eastAsia="方正楷体_GBK"/>
          <w:bCs/>
          <w:sz w:val="32"/>
          <w:szCs w:val="32"/>
          <w:lang w:val="zh-CN"/>
        </w:rPr>
        <w:t>项目管理10分，自评得分10分。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1.“使用范围”总分2分，自评得分2分。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2.“资金使用”总分2分，自评得分2分。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3.“财务制度”总分2分，自评得分2分。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4.“预算执行率”总分2分</w:t>
      </w:r>
      <w:bookmarkStart w:id="0" w:name="_GoBack"/>
      <w:bookmarkEnd w:id="0"/>
      <w:r>
        <w:rPr>
          <w:rFonts w:eastAsia="方正仿宋_GBK"/>
          <w:bCs/>
          <w:sz w:val="32"/>
          <w:szCs w:val="32"/>
          <w:lang w:val="zh-CN"/>
        </w:rPr>
        <w:t>，自评得分2分。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5.“计划执行”总分2分，自评得分2分。</w:t>
      </w:r>
    </w:p>
    <w:p>
      <w:pPr>
        <w:numPr>
          <w:ilvl w:val="0"/>
          <w:numId w:val="1"/>
        </w:numPr>
        <w:adjustRightInd w:val="0"/>
        <w:snapToGrid w:val="0"/>
        <w:spacing w:line="450" w:lineRule="exact"/>
        <w:rPr>
          <w:rFonts w:eastAsia="方正楷体_GBK"/>
          <w:bCs/>
          <w:sz w:val="32"/>
          <w:szCs w:val="32"/>
          <w:lang w:val="zh-CN"/>
        </w:rPr>
      </w:pPr>
      <w:r>
        <w:rPr>
          <w:rFonts w:eastAsia="方正楷体_GBK"/>
          <w:bCs/>
          <w:sz w:val="32"/>
          <w:szCs w:val="32"/>
          <w:lang w:val="zh-CN"/>
        </w:rPr>
        <w:t>项目绩效70分，自评得分70分。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1.“完成数量”总分5分，自评得分5分。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2.“完成质量”总分5分，自评得分5分。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3.“完成成本”总分5分，自评得分5分。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4.“完成时效”总分5分，自评得分5分。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5.“经济效益”总分5分，自评得分0分。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6.“社会效益”总分5分，自评得分20分。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7.“生态效益”总分5分，自评得分0分。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8.“可持续效益”总分5分，自评得分20分。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9.“满意度”总分20分，自评得分0分。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10.“项目自评”总分10分，自评得分10分。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综上所述，自评得分100分。在今后的部门项目预算编制时，加强绩效目标的编报工作，认真分析项目特点，做好基础数据的收集与分析，根据项目特性，设置科学合理的绩效目标及目标值，抓好预算绩效管理的源头。</w:t>
      </w:r>
    </w:p>
    <w:p>
      <w:pPr>
        <w:adjustRightInd w:val="0"/>
        <w:snapToGrid w:val="0"/>
        <w:spacing w:line="450" w:lineRule="exact"/>
        <w:ind w:left="0" w:firstLineChars="200" w:firstLine="640"/>
        <w:rPr>
          <w:rFonts w:ascii="方正黑体_GBK" w:eastAsia="方正黑体_GBK" w:hint="eastAsia"/>
          <w:sz w:val="32"/>
          <w:szCs w:val="32"/>
          <w:lang w:val="zh-CN"/>
        </w:rPr>
      </w:pPr>
      <w:r>
        <w:rPr>
          <w:rFonts w:ascii="方正黑体_GBK" w:eastAsia="方正黑体_GBK" w:hint="eastAsia"/>
          <w:sz w:val="32"/>
          <w:szCs w:val="32"/>
          <w:lang w:val="zh-CN"/>
        </w:rPr>
        <w:t>五、建议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严格按照专项资金管理办法要求，加强专项资金项目绩目标管理，进一步完善专项资金使用台账，定期做好与财务室对账工作；进一步加大法治工作力度，促进依法行政工作落到实处。</w:t>
      </w:r>
    </w:p>
    <w:p>
      <w:pPr>
        <w:adjustRightInd w:val="0"/>
        <w:snapToGrid w:val="0"/>
        <w:spacing w:line="450" w:lineRule="exact"/>
        <w:ind w:left="0" w:firstLineChars="200" w:firstLine="640"/>
        <w:rPr>
          <w:rFonts w:ascii="仿宋_GB2312" w:eastAsia="仿宋_GB2312" w:hint="eastAsia"/>
          <w:bCs/>
          <w:sz w:val="32"/>
          <w:szCs w:val="32"/>
          <w:lang w:val="zh-CN"/>
        </w:rPr>
      </w:pP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ascii="黑体" w:eastAsia="黑体" w:hint="eastAsia"/>
          <w:bCs/>
          <w:sz w:val="32"/>
          <w:szCs w:val="32"/>
        </w:rPr>
        <w:t>附件：</w:t>
      </w:r>
      <w:r>
        <w:rPr>
          <w:rFonts w:eastAsia="方正仿宋_GBK"/>
          <w:bCs/>
          <w:sz w:val="32"/>
          <w:szCs w:val="32"/>
          <w:lang w:val="zh-CN"/>
        </w:rPr>
        <w:t>部门预算项目绩效评价自评表</w:t>
      </w:r>
    </w:p>
    <w:p>
      <w:pPr>
        <w:adjustRightInd w:val="0"/>
        <w:snapToGrid w:val="0"/>
        <w:spacing w:line="450" w:lineRule="exact"/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业务联系人及电话：卿璐  87350425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>财务联系人及电话：林玲  87463040</w:t>
      </w:r>
    </w:p>
    <w:p>
      <w:pPr>
        <w:adjustRightInd w:val="0"/>
        <w:snapToGrid w:val="0"/>
        <w:spacing w:line="450" w:lineRule="exact"/>
        <w:ind w:firstLineChars="200" w:firstLine="640"/>
        <w:rPr>
          <w:rFonts w:ascii="楷体_GB2312" w:eastAsia="楷体_GB2312" w:hint="eastAsia"/>
          <w:bCs/>
          <w:sz w:val="32"/>
          <w:szCs w:val="32"/>
        </w:rPr>
      </w:pP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ascii="楷体_GB2312" w:eastAsia="楷体_GB2312" w:hint="eastAsia"/>
          <w:bCs/>
          <w:sz w:val="32"/>
          <w:szCs w:val="32"/>
        </w:rPr>
        <w:t xml:space="preserve">           </w:t>
      </w:r>
      <w:r>
        <w:rPr>
          <w:rFonts w:ascii="楷体_GB2312" w:eastAsia="楷体_GB2312"/>
          <w:bCs/>
          <w:sz w:val="32"/>
          <w:szCs w:val="32"/>
        </w:rPr>
        <w:t xml:space="preserve">    </w:t>
      </w:r>
      <w:r>
        <w:rPr>
          <w:rFonts w:eastAsia="方正仿宋_GBK"/>
          <w:bCs/>
          <w:sz w:val="32"/>
          <w:szCs w:val="32"/>
          <w:lang w:val="zh-CN"/>
        </w:rPr>
        <w:t xml:space="preserve"> 成都市青羊区规划和自然资源局</w:t>
      </w:r>
    </w:p>
    <w:p>
      <w:pPr>
        <w:adjustRightInd w:val="0"/>
        <w:snapToGrid w:val="0"/>
        <w:spacing w:line="450" w:lineRule="exact"/>
        <w:ind w:firstLineChars="200" w:firstLine="640"/>
        <w:rPr>
          <w:rFonts w:eastAsia="方正仿宋_GBK"/>
          <w:bCs/>
          <w:sz w:val="32"/>
          <w:szCs w:val="32"/>
          <w:lang w:val="zh-CN"/>
        </w:rPr>
      </w:pPr>
      <w:r>
        <w:rPr>
          <w:rFonts w:eastAsia="方正仿宋_GBK"/>
          <w:bCs/>
          <w:sz w:val="32"/>
          <w:szCs w:val="32"/>
          <w:lang w:val="zh-CN"/>
        </w:rPr>
        <w:t xml:space="preserve">                     2019年6月12日</w:t>
      </w:r>
    </w:p>
    <w:sectPr>
      <w:headerReference w:type="default" r:id="rId2"/>
      <w:footerReference w:type="default" r:id="rId3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??">
    <w:altName w:val="Times New Roman"/>
    <w:panose1 w:val="00000000000000000000"/>
    <w:charset w:val="00"/>
    <w:family w:val="roman"/>
    <w:pitch w:val="variable"/>
    <w:sig w:usb0="00000003" w:usb1="00000000" w:usb2="00000000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95</wp:posOffset>
              </wp:positionV>
              <wp:extent cx="857250" cy="14801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857250" cy="148018"/>
                      </a:xfrm>
                      <a:prstGeom prst="rect"/>
                      <a:noFill/>
                      <a:ln w="1587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7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rokeweight="1.25pt" style="position:absolute;margin-left:0.0075072097pt;margin-top:0.0075072097pt;width:67.5pt;height:11.655035pt;z-index:10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7"/>
                      <w:tabs>
                        <w:tab w:val="center" w:pos="4153"/>
                        <w:tab w:val="right" w:pos="8306"/>
                      </w:tabs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tabs>
        <w:tab w:val="center" w:pos="4153"/>
        <w:tab w:val="right" w:pos="8306"/>
      </w:tabs>
      <w:rPr>
        <w:rFonts w:hint="eastAsia"/>
      </w:rPr>
    </w:pPr>
    <w:r>
      <w:rPr>
        <w:rFonts w:hint="eastAsia"/>
      </w:rPr>
      <w:t>附件2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7F7A0534"/>
    <w:multiLevelType w:val="hybridMultilevel"/>
    <w:tmpl w:val="00000000"/>
    <w:lvl w:ilvl="0">
      <w:start w:val="1"/>
      <w:numFmt w:val="chineseCountingThousand"/>
      <w:lvlRestart w:val="0"/>
      <w:lvlText w:val="（%1）"/>
      <w:lvlJc w:val="left"/>
      <w:pPr>
        <w:tabs>
          <w:tab w:val="num" w:pos="1400"/>
        </w:tabs>
        <w:ind w:left="1400" w:hanging="840"/>
      </w:p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7"/>
    <w:basedOn w:val="0"/>
    <w:autoRedefine/>
    <w:next w:val="0"/>
    <w:pPr>
      <w:ind w:left="2520"/>
    </w:pPr>
  </w:style>
  <w:style w:type="paragraph" w:styleId="16">
    <w:name w:val="header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eastAsia="宋体" w:cs="Times New Roman" w:hAnsi="Times New Roman"/>
      <w:kern w:val="2"/>
      <w:sz w:val="18"/>
      <w:szCs w:val="24"/>
      <w:lang w:val="en-US" w:eastAsia="zh-CN" w:bidi="ar-SA"/>
    </w:rPr>
  </w:style>
  <w:style w:type="paragraph" w:styleId="17">
    <w:name w:val="footer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24"/>
      <w:lang w:val="en-US" w:eastAsia="zh-CN" w:bidi="ar-SA"/>
    </w:rPr>
  </w:style>
  <w:style w:type="paragraph" w:customStyle="1" w:styleId="18">
    <w:name w:val="四号正文"/>
    <w:next w:val="15"/>
    <w:pPr>
      <w:widowControl w:val="0"/>
      <w:spacing w:line="360" w:lineRule="auto"/>
      <w:jc w:val="both"/>
    </w:pPr>
    <w:rPr>
      <w:rFonts w:ascii="??" w:eastAsia="宋体" w:cs="宋体" w:hAnsi="??"/>
      <w:color w:val="000000"/>
      <w:kern w:val="0"/>
      <w:sz w:val="28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119</TotalTime>
  <Application>Yozo_Office</Application>
  <Pages>3</Pages>
  <Words>1423</Words>
  <Characters>1523</Characters>
  <Lines>82</Lines>
  <Paragraphs>51</Paragraphs>
  <CharactersWithSpaces>1569</CharactersWithSpace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HP Inc.</dc:creator>
  <cp:lastModifiedBy>HP Inc.</cp:lastModifiedBy>
  <cp:revision>1</cp:revision>
  <cp:lastPrinted>2019-07-01T05:02:18Z</cp:lastPrinted>
  <dcterms:created xsi:type="dcterms:W3CDTF">2019-06-11T01:31:07Z</dcterms:created>
  <dcterms:modified xsi:type="dcterms:W3CDTF">2019-07-01T05:03:56Z</dcterms:modified>
</cp:coreProperties>
</file>