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575E55">
      <w:r>
        <w:rPr>
          <w:sz w:val="32"/>
          <w:szCs w:val="32"/>
        </w:rPr>
        <w:pict>
          <v:shape id="_x0000_s1026" o:spid="_x0000_s1026" o:spt="136" type="#_x0000_t136" style="position:absolute;left:0pt;margin-left:18pt;margin-top:8.55pt;height:50.95pt;width:408.05pt;z-index:251659264;mso-width-relative:page;mso-height-relative:page;" fillcolor="#FF0000" filled="t" stroked="f" coordsize="21600,21600">
            <v:path/>
            <v:fill on="t" focussize="0,0"/>
            <v:stroke on="f" weight="1pt"/>
            <v:imagedata o:title=""/>
            <o:lock v:ext="edit" aspectratio="f"/>
            <v:textpath on="t" fitshape="t" fitpath="t" trim="t" xscale="f" string="成都市青羊生态环境局" style="font-family:方正小标宋_GBK;font-size:40pt;v-rotate-letters:f;v-same-letter-heights:f;v-text-align:center;"/>
          </v:shape>
        </w:pict>
      </w:r>
    </w:p>
    <w:p w14:paraId="094C9DBB"/>
    <w:p w14:paraId="2856ECA7"/>
    <w:p w14:paraId="73149425"/>
    <w:p w14:paraId="436DDB5B"/>
    <w:p w14:paraId="51005C8C">
      <w:pPr>
        <w:ind w:right="225" w:rightChars="107"/>
        <w:rPr>
          <w:rFonts w:eastAsia="方正仿宋_GBK"/>
          <w:snapToGrid w:val="0"/>
          <w:kern w:val="0"/>
          <w:sz w:val="32"/>
          <w:szCs w:val="32"/>
        </w:rPr>
      </w:pPr>
      <w:r>
        <w:rPr>
          <w:rFonts w:eastAsia="仿宋_GB2312"/>
          <w:sz w:val="20"/>
        </w:rPr>
        <mc:AlternateContent>
          <mc:Choice Requires="wps">
            <w:drawing>
              <wp:anchor distT="0" distB="0" distL="114300" distR="114300" simplePos="0" relativeHeight="251660288" behindDoc="0" locked="0" layoutInCell="1" allowOverlap="1">
                <wp:simplePos x="0" y="0"/>
                <wp:positionH relativeFrom="column">
                  <wp:posOffset>-28575</wp:posOffset>
                </wp:positionH>
                <wp:positionV relativeFrom="paragraph">
                  <wp:posOffset>0</wp:posOffset>
                </wp:positionV>
                <wp:extent cx="5639435" cy="0"/>
                <wp:effectExtent l="0" t="23495" r="14605" b="37465"/>
                <wp:wrapNone/>
                <wp:docPr id="1" name="直接连接符 1"/>
                <wp:cNvGraphicFramePr/>
                <a:graphic xmlns:a="http://schemas.openxmlformats.org/drawingml/2006/main">
                  <a:graphicData uri="http://schemas.microsoft.com/office/word/2010/wordprocessingShape">
                    <wps:wsp>
                      <wps:cNvCnPr/>
                      <wps:spPr>
                        <a:xfrm>
                          <a:off x="0" y="0"/>
                          <a:ext cx="5639435" cy="0"/>
                        </a:xfrm>
                        <a:prstGeom prst="line">
                          <a:avLst/>
                        </a:prstGeom>
                        <a:ln w="47625" cap="flat" cmpd="thickThin">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25pt;margin-top:0pt;height:0pt;width:444.05pt;z-index:251660288;mso-width-relative:page;mso-height-relative:page;" filled="f" stroked="t" coordsize="21600,21600" o:gfxdata="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OQXAy0wAAAAQBAAAPAAAAAAAAAAEAIAAAACIAAABkcnMvZG93bnJldi54bWxQ&#10;SwECFAAUAAAACACHTuJAEX7AqvwBAADrAwAADgAAAAAAAAABACAAAAAiAQAAZHJzL2Uyb0RvYy54&#10;bWxQSwUGAAAAAAYABgBZAQAAkAUAAAAA&#10;">
                <v:fill on="f" focussize="0,0"/>
                <v:stroke weight="3.75pt" color="#FF0000" linestyle="thickThin" joinstyle="round"/>
                <v:imagedata o:title=""/>
                <o:lock v:ext="edit" aspectratio="f"/>
              </v:line>
            </w:pict>
          </mc:Fallback>
        </mc:AlternateContent>
      </w:r>
      <w:r>
        <w:rPr>
          <w:rFonts w:hint="eastAsia"/>
        </w:rPr>
        <w:t xml:space="preserve">                                                 </w:t>
      </w:r>
    </w:p>
    <w:p w14:paraId="175A5DF7">
      <w:pPr>
        <w:numPr>
          <w:ilvl w:val="0"/>
          <w:numId w:val="0"/>
        </w:numPr>
        <w:spacing w:after="0" w:line="240" w:lineRule="auto"/>
        <w:jc w:val="center"/>
        <w:rPr>
          <w:rFonts w:hint="eastAsia" w:ascii="方正小标宋_GBK" w:hAnsi="方正小标宋_GBK" w:eastAsia="方正小标宋_GBK" w:cs="方正小标宋_GBK"/>
          <w:i w:val="0"/>
          <w:iCs w:val="0"/>
          <w:caps w:val="0"/>
          <w:color w:val="1C1F23"/>
          <w:spacing w:val="0"/>
          <w:kern w:val="0"/>
          <w:sz w:val="44"/>
          <w:szCs w:val="44"/>
          <w:shd w:val="clear" w:color="auto" w:fill="FFFFFF"/>
          <w:lang w:val="en-US" w:eastAsia="zh-CN" w:bidi="ar"/>
        </w:rPr>
      </w:pPr>
      <w:r>
        <w:rPr>
          <w:rFonts w:hint="eastAsia" w:ascii="方正小标宋_GBK" w:hAnsi="方正小标宋_GBK" w:eastAsia="方正小标宋_GBK" w:cs="方正小标宋_GBK"/>
          <w:sz w:val="44"/>
          <w:szCs w:val="44"/>
          <w:lang w:val="en-US" w:eastAsia="zh-CN"/>
        </w:rPr>
        <w:t>2027-2029年青羊区“7+9+1”噪声自动监测站运维服务采购项目询价公告</w:t>
      </w:r>
    </w:p>
    <w:p w14:paraId="34920918">
      <w:pPr>
        <w:rPr>
          <w:rFonts w:hint="eastAsia" w:ascii="宋体" w:hAnsi="宋体" w:eastAsia="宋体" w:cs="宋体"/>
          <w:i w:val="0"/>
          <w:iCs w:val="0"/>
          <w:caps w:val="0"/>
          <w:color w:val="1C1F23"/>
          <w:spacing w:val="0"/>
          <w:kern w:val="0"/>
          <w:sz w:val="24"/>
          <w:szCs w:val="24"/>
          <w:shd w:val="clear" w:color="auto" w:fill="FFFFFF"/>
          <w:lang w:val="en-US" w:eastAsia="zh-CN" w:bidi="ar"/>
        </w:rPr>
      </w:pPr>
    </w:p>
    <w:p w14:paraId="58733051">
      <w:pPr>
        <w:keepNext w:val="0"/>
        <w:keepLines w:val="0"/>
        <w:pageBreakBefore w:val="0"/>
        <w:widowControl w:val="0"/>
        <w:kinsoku/>
        <w:wordWrap/>
        <w:overflowPunct/>
        <w:topLinePunct w:val="0"/>
        <w:autoSpaceDE/>
        <w:autoSpaceDN/>
        <w:bidi w:val="0"/>
        <w:spacing w:line="60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各潜在供应商：</w:t>
      </w:r>
    </w:p>
    <w:p w14:paraId="59FF38C9">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方正仿宋_GBK" w:cs="Times New Roman"/>
          <w:sz w:val="32"/>
          <w:szCs w:val="32"/>
          <w:lang w:eastAsia="zh-CN"/>
        </w:rPr>
      </w:pPr>
      <w:r>
        <w:rPr>
          <w:rFonts w:hint="eastAsia" w:ascii="方正仿宋_GBK" w:hAnsi="方正仿宋_GBK" w:eastAsia="方正仿宋_GBK" w:cs="方正仿宋_GBK"/>
          <w:sz w:val="32"/>
          <w:szCs w:val="32"/>
          <w:lang w:val="en-US" w:eastAsia="zh-CN"/>
        </w:rPr>
        <w:t>为切实保障青羊区噪声监测网络的稳定高效运行，确保区域环境噪声监测数据的连续性、准确性与时效性，进一步提升噪声污染防治监管的科学化、精准化水平，满足辖区环境质量评价与管理决策需求。我局</w:t>
      </w:r>
      <w:r>
        <w:rPr>
          <w:rFonts w:hint="eastAsia" w:ascii="方正仿宋_GBK" w:hAnsi="方正仿宋_GBK" w:eastAsia="方正仿宋_GBK" w:cs="方正仿宋_GBK"/>
          <w:sz w:val="32"/>
          <w:szCs w:val="32"/>
          <w:lang w:eastAsia="zh-CN"/>
        </w:rPr>
        <w:t>拟通过购买第三方服务的方式2027-2029年</w:t>
      </w:r>
      <w:r>
        <w:rPr>
          <w:rFonts w:hint="eastAsia" w:ascii="方正仿宋_GBK" w:hAnsi="方正仿宋_GBK" w:eastAsia="方正仿宋_GBK" w:cs="方正仿宋_GBK"/>
          <w:sz w:val="32"/>
          <w:szCs w:val="32"/>
          <w:lang w:val="en-US" w:eastAsia="zh-CN"/>
        </w:rPr>
        <w:t>青羊区“7+9+1”噪声自动监测站运维工作</w:t>
      </w:r>
      <w:r>
        <w:rPr>
          <w:rFonts w:hint="default" w:ascii="Times New Roman" w:hAnsi="Times New Roman" w:eastAsia="方正仿宋_GBK" w:cs="Times New Roman"/>
          <w:sz w:val="32"/>
          <w:szCs w:val="32"/>
          <w:lang w:eastAsia="zh-CN"/>
        </w:rPr>
        <w:t>。</w:t>
      </w:r>
    </w:p>
    <w:p w14:paraId="34582A03">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一、项目简介</w:t>
      </w:r>
    </w:p>
    <w:p w14:paraId="2FC299D7">
      <w:pPr>
        <w:keepNext w:val="0"/>
        <w:keepLines w:val="0"/>
        <w:pageBreakBefore w:val="0"/>
        <w:widowControl w:val="0"/>
        <w:numPr>
          <w:ilvl w:val="0"/>
          <w:numId w:val="0"/>
        </w:numPr>
        <w:kinsoku/>
        <w:wordWrap/>
        <w:overflowPunct/>
        <w:topLinePunct w:val="0"/>
        <w:autoSpaceDE/>
        <w:autoSpaceDN/>
        <w:bidi w:val="0"/>
        <w:spacing w:line="600" w:lineRule="exact"/>
        <w:ind w:firstLine="640" w:firstLineChars="200"/>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（一）项目名称</w:t>
      </w:r>
    </w:p>
    <w:p w14:paraId="4827850E">
      <w:pPr>
        <w:keepNext w:val="0"/>
        <w:keepLines w:val="0"/>
        <w:pageBreakBefore w:val="0"/>
        <w:widowControl w:val="0"/>
        <w:numPr>
          <w:ilvl w:val="0"/>
          <w:numId w:val="0"/>
        </w:numPr>
        <w:kinsoku/>
        <w:wordWrap/>
        <w:overflowPunct/>
        <w:topLinePunct w:val="0"/>
        <w:autoSpaceDE/>
        <w:autoSpaceDN/>
        <w:bidi w:val="0"/>
        <w:spacing w:line="60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2027-2029年青羊区“7+9+1”噪声自动监测站运维服务采购项目</w:t>
      </w:r>
    </w:p>
    <w:p w14:paraId="3A4190CC">
      <w:pPr>
        <w:keepNext w:val="0"/>
        <w:keepLines w:val="0"/>
        <w:pageBreakBefore w:val="0"/>
        <w:widowControl w:val="0"/>
        <w:numPr>
          <w:ilvl w:val="0"/>
          <w:numId w:val="0"/>
        </w:numPr>
        <w:kinsoku/>
        <w:wordWrap/>
        <w:overflowPunct/>
        <w:topLinePunct w:val="0"/>
        <w:autoSpaceDE/>
        <w:autoSpaceDN/>
        <w:bidi w:val="0"/>
        <w:spacing w:line="600" w:lineRule="exact"/>
        <w:ind w:firstLine="640" w:firstLineChars="200"/>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（二）资金来源</w:t>
      </w:r>
    </w:p>
    <w:p w14:paraId="6079CA2D">
      <w:pPr>
        <w:keepNext w:val="0"/>
        <w:keepLines w:val="0"/>
        <w:pageBreakBefore w:val="0"/>
        <w:widowControl w:val="0"/>
        <w:numPr>
          <w:ilvl w:val="0"/>
          <w:numId w:val="0"/>
        </w:numPr>
        <w:kinsoku/>
        <w:wordWrap/>
        <w:overflowPunct/>
        <w:topLinePunct w:val="0"/>
        <w:autoSpaceDE/>
        <w:autoSpaceDN/>
        <w:bidi w:val="0"/>
        <w:spacing w:line="60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财政资金。</w:t>
      </w:r>
    </w:p>
    <w:p w14:paraId="77EB8A4B">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方正黑体_GBK" w:hAnsi="方正黑体_GBK" w:eastAsia="方正黑体_GBK" w:cs="方正黑体_GBK"/>
          <w:b w:val="0"/>
          <w:bCs w:val="0"/>
          <w:sz w:val="32"/>
          <w:szCs w:val="32"/>
          <w:lang w:val="en-US" w:eastAsia="zh-CN"/>
        </w:rPr>
      </w:pPr>
      <w:r>
        <w:rPr>
          <w:rFonts w:hint="eastAsia" w:ascii="方正黑体_GBK" w:hAnsi="方正黑体_GBK" w:eastAsia="方正黑体_GBK" w:cs="方正黑体_GBK"/>
          <w:b w:val="0"/>
          <w:bCs w:val="0"/>
          <w:sz w:val="32"/>
          <w:szCs w:val="32"/>
          <w:lang w:val="en-US" w:eastAsia="zh-CN"/>
        </w:rPr>
        <w:t>二、服务标准和要求</w:t>
      </w:r>
    </w:p>
    <w:p w14:paraId="59B671B6">
      <w:pPr>
        <w:keepNext w:val="0"/>
        <w:keepLines w:val="0"/>
        <w:pageBreakBefore w:val="0"/>
        <w:widowControl w:val="0"/>
        <w:numPr>
          <w:ilvl w:val="0"/>
          <w:numId w:val="0"/>
        </w:numPr>
        <w:kinsoku/>
        <w:wordWrap/>
        <w:overflowPunct/>
        <w:topLinePunct w:val="0"/>
        <w:autoSpaceDE/>
        <w:autoSpaceDN/>
        <w:bidi w:val="0"/>
        <w:spacing w:line="600"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服务标准和要求详见附件1。</w:t>
      </w:r>
    </w:p>
    <w:p w14:paraId="4E00C755">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lang w:val="en-US" w:eastAsia="zh-CN"/>
        </w:rPr>
        <w:t>三</w:t>
      </w:r>
      <w:r>
        <w:rPr>
          <w:rFonts w:hint="eastAsia" w:ascii="方正黑体_GBK" w:hAnsi="方正黑体_GBK" w:eastAsia="方正黑体_GBK" w:cs="方正黑体_GBK"/>
          <w:b w:val="0"/>
          <w:bCs w:val="0"/>
          <w:sz w:val="32"/>
          <w:szCs w:val="32"/>
        </w:rPr>
        <w:t>、</w:t>
      </w:r>
      <w:r>
        <w:rPr>
          <w:rFonts w:hint="eastAsia" w:ascii="方正黑体_GBK" w:hAnsi="方正黑体_GBK" w:eastAsia="方正黑体_GBK" w:cs="方正黑体_GBK"/>
          <w:b w:val="0"/>
          <w:bCs w:val="0"/>
          <w:sz w:val="32"/>
          <w:szCs w:val="32"/>
          <w:lang w:val="en-US" w:eastAsia="zh-CN"/>
        </w:rPr>
        <w:t>其他</w:t>
      </w:r>
      <w:r>
        <w:rPr>
          <w:rFonts w:hint="eastAsia" w:ascii="方正黑体_GBK" w:hAnsi="方正黑体_GBK" w:eastAsia="方正黑体_GBK" w:cs="方正黑体_GBK"/>
          <w:b w:val="0"/>
          <w:bCs w:val="0"/>
          <w:sz w:val="32"/>
          <w:szCs w:val="32"/>
        </w:rPr>
        <w:t>要求</w:t>
      </w:r>
    </w:p>
    <w:p w14:paraId="6F7ED3E9">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方正仿宋_GBK" w:cs="Times New Roman"/>
          <w:color w:val="000000"/>
          <w:sz w:val="32"/>
          <w:szCs w:val="32"/>
        </w:rPr>
      </w:pPr>
      <w:r>
        <w:rPr>
          <w:rFonts w:hint="eastAsia" w:ascii="Times New Roman" w:hAnsi="Times New Roman" w:eastAsia="方正仿宋_GBK" w:cs="Times New Roman"/>
          <w:color w:val="000000"/>
          <w:sz w:val="32"/>
          <w:szCs w:val="32"/>
          <w:lang w:val="en-US" w:eastAsia="zh-CN"/>
        </w:rPr>
        <w:t>1、</w:t>
      </w:r>
      <w:r>
        <w:rPr>
          <w:rFonts w:hint="default" w:ascii="Times New Roman" w:hAnsi="Times New Roman" w:eastAsia="方正仿宋_GBK" w:cs="Times New Roman"/>
          <w:color w:val="000000"/>
          <w:sz w:val="32"/>
          <w:szCs w:val="32"/>
        </w:rPr>
        <w:t>递交</w:t>
      </w:r>
      <w:r>
        <w:rPr>
          <w:rFonts w:hint="eastAsia" w:ascii="Times New Roman" w:hAnsi="Times New Roman" w:eastAsia="方正仿宋_GBK" w:cs="Times New Roman"/>
          <w:color w:val="000000"/>
          <w:sz w:val="32"/>
          <w:szCs w:val="32"/>
          <w:lang w:val="en-US" w:eastAsia="zh-CN"/>
        </w:rPr>
        <w:t>询价回复资料（附件2）的</w:t>
      </w:r>
      <w:r>
        <w:rPr>
          <w:rFonts w:hint="default" w:ascii="Times New Roman" w:hAnsi="Times New Roman" w:eastAsia="方正仿宋_GBK" w:cs="Times New Roman"/>
          <w:color w:val="000000"/>
          <w:sz w:val="32"/>
          <w:szCs w:val="32"/>
        </w:rPr>
        <w:t>截止时间为202</w:t>
      </w:r>
      <w:r>
        <w:rPr>
          <w:rFonts w:hint="eastAsia" w:ascii="Times New Roman" w:hAnsi="Times New Roman" w:eastAsia="方正仿宋_GBK" w:cs="Times New Roman"/>
          <w:color w:val="000000"/>
          <w:sz w:val="32"/>
          <w:szCs w:val="32"/>
          <w:lang w:val="en-US" w:eastAsia="zh-CN"/>
        </w:rPr>
        <w:t>6</w:t>
      </w:r>
      <w:r>
        <w:rPr>
          <w:rFonts w:hint="default" w:ascii="Times New Roman" w:hAnsi="Times New Roman" w:eastAsia="方正仿宋_GBK" w:cs="Times New Roman"/>
          <w:color w:val="000000"/>
          <w:sz w:val="32"/>
          <w:szCs w:val="32"/>
        </w:rPr>
        <w:t>年</w:t>
      </w:r>
      <w:r>
        <w:rPr>
          <w:rFonts w:hint="eastAsia" w:ascii="Times New Roman" w:hAnsi="Times New Roman" w:eastAsia="方正仿宋_GBK" w:cs="Times New Roman"/>
          <w:color w:val="000000"/>
          <w:sz w:val="32"/>
          <w:szCs w:val="32"/>
          <w:lang w:val="en-US" w:eastAsia="zh-CN"/>
        </w:rPr>
        <w:t>10</w:t>
      </w:r>
      <w:r>
        <w:rPr>
          <w:rFonts w:hint="default" w:ascii="Times New Roman" w:hAnsi="Times New Roman" w:eastAsia="方正仿宋_GBK" w:cs="Times New Roman"/>
          <w:color w:val="000000"/>
          <w:sz w:val="32"/>
          <w:szCs w:val="32"/>
        </w:rPr>
        <w:t>月</w:t>
      </w:r>
      <w:r>
        <w:rPr>
          <w:rFonts w:hint="eastAsia" w:ascii="Times New Roman" w:hAnsi="Times New Roman" w:eastAsia="方正仿宋_GBK" w:cs="Times New Roman"/>
          <w:color w:val="000000"/>
          <w:sz w:val="32"/>
          <w:szCs w:val="32"/>
          <w:lang w:val="en-US" w:eastAsia="zh-CN"/>
        </w:rPr>
        <w:t>15</w:t>
      </w:r>
      <w:r>
        <w:rPr>
          <w:rFonts w:hint="default" w:ascii="Times New Roman" w:hAnsi="Times New Roman" w:eastAsia="方正仿宋_GBK" w:cs="Times New Roman"/>
          <w:color w:val="000000"/>
          <w:sz w:val="32"/>
          <w:szCs w:val="32"/>
        </w:rPr>
        <w:t>日17时00分。</w:t>
      </w:r>
    </w:p>
    <w:p w14:paraId="007308DC">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2、</w:t>
      </w:r>
      <w:r>
        <w:rPr>
          <w:rFonts w:hint="default" w:ascii="Times New Roman" w:hAnsi="Times New Roman" w:eastAsia="方正仿宋_GBK" w:cs="Times New Roman"/>
          <w:color w:val="000000"/>
          <w:sz w:val="32"/>
          <w:szCs w:val="32"/>
        </w:rPr>
        <w:t>递交方式：可通过</w:t>
      </w:r>
      <w:r>
        <w:rPr>
          <w:rFonts w:hint="eastAsia" w:ascii="Times New Roman" w:hAnsi="Times New Roman" w:eastAsia="方正仿宋_GBK" w:cs="Times New Roman"/>
          <w:color w:val="000000"/>
          <w:sz w:val="32"/>
          <w:szCs w:val="32"/>
          <w:lang w:val="en-US" w:eastAsia="zh-CN"/>
        </w:rPr>
        <w:t>邮箱、邮寄或</w:t>
      </w:r>
      <w:r>
        <w:rPr>
          <w:rFonts w:hint="default" w:ascii="Times New Roman" w:hAnsi="Times New Roman" w:eastAsia="方正仿宋_GBK" w:cs="Times New Roman"/>
          <w:color w:val="000000"/>
          <w:sz w:val="32"/>
          <w:szCs w:val="32"/>
        </w:rPr>
        <w:t>现场递交等方式进行</w:t>
      </w:r>
      <w:r>
        <w:rPr>
          <w:rFonts w:hint="eastAsia" w:ascii="Times New Roman" w:hAnsi="Times New Roman" w:eastAsia="方正仿宋_GBK" w:cs="Times New Roman"/>
          <w:color w:val="000000"/>
          <w:sz w:val="32"/>
          <w:szCs w:val="32"/>
          <w:lang w:eastAsia="zh-CN"/>
        </w:rPr>
        <w:t>，</w:t>
      </w:r>
      <w:r>
        <w:rPr>
          <w:rFonts w:hint="eastAsia" w:ascii="Times New Roman" w:hAnsi="Times New Roman" w:eastAsia="方正仿宋_GBK" w:cs="Times New Roman"/>
          <w:color w:val="000000"/>
          <w:sz w:val="32"/>
          <w:szCs w:val="32"/>
          <w:lang w:val="en-US" w:eastAsia="zh-CN"/>
        </w:rPr>
        <w:t>邮箱地址：</w:t>
      </w:r>
      <w:r>
        <w:rPr>
          <w:rFonts w:hint="eastAsia" w:ascii="Times New Roman" w:hAnsi="Times New Roman" w:eastAsia="方正仿宋_GBK" w:cs="方正仿宋_GBK"/>
          <w:sz w:val="32"/>
          <w:szCs w:val="32"/>
          <w:vertAlign w:val="baseline"/>
          <w:lang w:val="en-US" w:eastAsia="zh-CN"/>
        </w:rPr>
        <w:t>366674195@qq.com</w:t>
      </w:r>
      <w:r>
        <w:rPr>
          <w:rFonts w:hint="eastAsia" w:ascii="Times New Roman" w:hAnsi="Times New Roman" w:eastAsia="方正仿宋_GBK" w:cs="Times New Roman"/>
          <w:color w:val="000000"/>
          <w:sz w:val="32"/>
          <w:szCs w:val="32"/>
          <w:lang w:val="en-US" w:eastAsia="zh-CN"/>
        </w:rPr>
        <w:t>，邮寄地址：成都市青羊区石人南路38号。</w:t>
      </w:r>
    </w:p>
    <w:p w14:paraId="0235D75B">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方正仿宋_GBK" w:cs="Times New Roman"/>
          <w:color w:val="000000"/>
          <w:sz w:val="32"/>
          <w:szCs w:val="32"/>
        </w:rPr>
      </w:pPr>
      <w:r>
        <w:rPr>
          <w:rFonts w:hint="eastAsia" w:ascii="Times New Roman" w:hAnsi="Times New Roman" w:eastAsia="方正仿宋_GBK" w:cs="Times New Roman"/>
          <w:color w:val="000000"/>
          <w:sz w:val="32"/>
          <w:szCs w:val="32"/>
          <w:lang w:val="en-US" w:eastAsia="zh-CN"/>
        </w:rPr>
        <w:t>3、</w:t>
      </w:r>
      <w:r>
        <w:rPr>
          <w:rFonts w:hint="default" w:ascii="Times New Roman" w:hAnsi="Times New Roman" w:eastAsia="方正仿宋_GBK" w:cs="Times New Roman"/>
          <w:color w:val="000000"/>
          <w:sz w:val="32"/>
          <w:szCs w:val="32"/>
        </w:rPr>
        <w:t>逾期报送的或者未在指定地点、邮箱进行报价的，不予受理。</w:t>
      </w:r>
    </w:p>
    <w:p w14:paraId="67606206">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lang w:val="en-US" w:eastAsia="zh-CN"/>
        </w:rPr>
        <w:t>五、通讯地址和</w:t>
      </w:r>
      <w:r>
        <w:rPr>
          <w:rFonts w:hint="eastAsia" w:ascii="方正黑体_GBK" w:hAnsi="方正黑体_GBK" w:eastAsia="方正黑体_GBK" w:cs="方正黑体_GBK"/>
          <w:b w:val="0"/>
          <w:bCs w:val="0"/>
          <w:sz w:val="32"/>
          <w:szCs w:val="32"/>
        </w:rPr>
        <w:t>联系方式</w:t>
      </w:r>
    </w:p>
    <w:p w14:paraId="7757B919">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方正仿宋_GBK" w:cs="Times New Roman"/>
          <w:color w:val="000000"/>
          <w:sz w:val="32"/>
          <w:szCs w:val="32"/>
          <w:lang w:val="en-US" w:eastAsia="zh-Hans"/>
        </w:rPr>
      </w:pPr>
      <w:r>
        <w:rPr>
          <w:rFonts w:hint="eastAsia" w:ascii="Times New Roman" w:hAnsi="Times New Roman" w:eastAsia="方正仿宋_GBK" w:cs="Times New Roman"/>
          <w:color w:val="000000"/>
          <w:sz w:val="32"/>
          <w:szCs w:val="32"/>
          <w:lang w:val="en-US" w:eastAsia="zh-Hans"/>
        </w:rPr>
        <w:t>地址：</w:t>
      </w:r>
      <w:r>
        <w:rPr>
          <w:rFonts w:hint="eastAsia" w:ascii="Times New Roman" w:hAnsi="Times New Roman" w:eastAsia="方正仿宋_GBK" w:cs="Times New Roman"/>
          <w:color w:val="000000"/>
          <w:sz w:val="32"/>
          <w:szCs w:val="32"/>
          <w:lang w:val="en-US" w:eastAsia="zh-CN"/>
        </w:rPr>
        <w:t>成都市青羊区石人南路38号。</w:t>
      </w:r>
    </w:p>
    <w:p w14:paraId="548F17DD">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方正仿宋_GBK" w:cs="Times New Roman"/>
          <w:color w:val="000000"/>
          <w:sz w:val="32"/>
          <w:szCs w:val="32"/>
          <w:lang w:val="en-US" w:eastAsia="zh-Hans"/>
        </w:rPr>
      </w:pPr>
      <w:r>
        <w:rPr>
          <w:rFonts w:hint="eastAsia" w:ascii="Times New Roman" w:hAnsi="Times New Roman" w:eastAsia="方正仿宋_GBK" w:cs="Times New Roman"/>
          <w:color w:val="000000"/>
          <w:sz w:val="32"/>
          <w:szCs w:val="32"/>
          <w:lang w:val="en-US" w:eastAsia="zh-Hans"/>
        </w:rPr>
        <w:t>邮编：61</w:t>
      </w:r>
      <w:r>
        <w:rPr>
          <w:rFonts w:hint="eastAsia" w:ascii="Times New Roman" w:hAnsi="Times New Roman" w:eastAsia="方正仿宋_GBK" w:cs="Times New Roman"/>
          <w:color w:val="000000"/>
          <w:sz w:val="32"/>
          <w:szCs w:val="32"/>
          <w:lang w:val="en-US" w:eastAsia="zh-CN"/>
        </w:rPr>
        <w:t>0000</w:t>
      </w:r>
    </w:p>
    <w:p w14:paraId="6E4AC23E">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Hans"/>
        </w:rPr>
        <w:t>联系人：</w:t>
      </w:r>
      <w:r>
        <w:rPr>
          <w:rFonts w:hint="eastAsia" w:ascii="Times New Roman" w:hAnsi="Times New Roman" w:eastAsia="方正仿宋_GBK" w:cs="Times New Roman"/>
          <w:color w:val="000000"/>
          <w:sz w:val="32"/>
          <w:szCs w:val="32"/>
          <w:lang w:val="en-US" w:eastAsia="zh-CN"/>
        </w:rPr>
        <w:t>宋老师</w:t>
      </w:r>
    </w:p>
    <w:p w14:paraId="38E25B1C">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电话：87333022</w:t>
      </w:r>
    </w:p>
    <w:p w14:paraId="0ECA41B3">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方正仿宋_GBK" w:cs="Times New Roman"/>
          <w:color w:val="000000"/>
          <w:sz w:val="32"/>
          <w:szCs w:val="32"/>
          <w:lang w:val="en-US" w:eastAsia="zh-CN"/>
        </w:rPr>
      </w:pPr>
    </w:p>
    <w:p w14:paraId="1FFC5C2C">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附件：1.项目采购需求</w:t>
      </w:r>
    </w:p>
    <w:p w14:paraId="488D443C">
      <w:pPr>
        <w:pStyle w:val="2"/>
        <w:rPr>
          <w:rFonts w:hint="default"/>
          <w:lang w:val="en-US" w:eastAsia="zh-CN"/>
        </w:rPr>
      </w:pPr>
      <w:r>
        <w:rPr>
          <w:rFonts w:hint="eastAsia" w:ascii="Times New Roman" w:hAnsi="Times New Roman" w:eastAsia="方正仿宋_GBK" w:cs="Times New Roman"/>
          <w:color w:val="000000"/>
          <w:sz w:val="32"/>
          <w:szCs w:val="32"/>
          <w:lang w:val="en-US" w:eastAsia="zh-CN"/>
        </w:rPr>
        <w:t xml:space="preserve">          2.询价回复函</w:t>
      </w:r>
    </w:p>
    <w:p w14:paraId="3EFB4467">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Times New Roman" w:hAnsi="Times New Roman" w:eastAsia="方正仿宋_GBK" w:cs="Times New Roman"/>
          <w:color w:val="000000"/>
          <w:sz w:val="32"/>
          <w:szCs w:val="32"/>
          <w:lang w:val="en-US" w:eastAsia="zh-CN"/>
        </w:rPr>
      </w:pPr>
    </w:p>
    <w:p w14:paraId="5EE8C8B9">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Times New Roman" w:hAnsi="Times New Roman" w:eastAsia="方正仿宋_GBK" w:cs="Times New Roman"/>
          <w:color w:val="000000"/>
          <w:sz w:val="32"/>
          <w:szCs w:val="32"/>
          <w:lang w:val="en-US" w:eastAsia="zh-CN"/>
        </w:rPr>
      </w:pPr>
    </w:p>
    <w:p w14:paraId="518389E2">
      <w:pPr>
        <w:keepNext w:val="0"/>
        <w:keepLines w:val="0"/>
        <w:pageBreakBefore w:val="0"/>
        <w:widowControl w:val="0"/>
        <w:kinsoku/>
        <w:wordWrap/>
        <w:overflowPunct/>
        <w:topLinePunct w:val="0"/>
        <w:autoSpaceDE/>
        <w:autoSpaceDN/>
        <w:bidi w:val="0"/>
        <w:adjustRightInd w:val="0"/>
        <w:snapToGrid w:val="0"/>
        <w:spacing w:line="600" w:lineRule="exact"/>
        <w:jc w:val="right"/>
        <w:textAlignment w:val="auto"/>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成都市青羊生态环境局</w:t>
      </w:r>
    </w:p>
    <w:p w14:paraId="2A0B228D">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 xml:space="preserve">                                    2026年10月12日</w:t>
      </w:r>
    </w:p>
    <w:p w14:paraId="3AB73E46">
      <w:pPr>
        <w:jc w:val="left"/>
        <w:rPr>
          <w:rFonts w:hint="eastAsia" w:ascii="方正黑体_GBK" w:hAnsi="方正黑体_GBK" w:eastAsia="方正黑体_GBK" w:cs="方正黑体_GBK"/>
          <w:sz w:val="28"/>
          <w:szCs w:val="28"/>
          <w:lang w:val="en-US" w:eastAsia="zh-CN"/>
        </w:rPr>
      </w:pPr>
    </w:p>
    <w:p w14:paraId="3273C497">
      <w:pPr>
        <w:spacing w:line="560" w:lineRule="exact"/>
        <w:jc w:val="left"/>
        <w:rPr>
          <w:rFonts w:hint="default" w:ascii="宋体" w:hAnsi="宋体" w:eastAsia="方正黑体_GBK" w:cs="宋体"/>
          <w:b/>
          <w:bCs/>
          <w:color w:val="auto"/>
          <w:sz w:val="32"/>
          <w:szCs w:val="32"/>
          <w:lang w:val="en-US" w:eastAsia="zh-CN" w:bidi="ar"/>
        </w:rPr>
      </w:pPr>
      <w:r>
        <w:rPr>
          <w:rFonts w:hint="eastAsia" w:ascii="方正黑体_GBK" w:hAnsi="方正黑体_GBK" w:eastAsia="方正黑体_GBK" w:cs="方正黑体_GBK"/>
          <w:sz w:val="28"/>
          <w:szCs w:val="28"/>
          <w:lang w:val="en-US" w:eastAsia="zh-CN"/>
        </w:rPr>
        <w:br w:type="page"/>
      </w:r>
      <w:r>
        <w:rPr>
          <w:rFonts w:hint="eastAsia" w:ascii="宋体" w:hAnsi="宋体" w:cs="宋体"/>
          <w:b/>
          <w:bCs/>
          <w:color w:val="auto"/>
          <w:sz w:val="32"/>
          <w:szCs w:val="32"/>
          <w:lang w:eastAsia="zh-CN" w:bidi="ar"/>
        </w:rPr>
        <w:t>附件</w:t>
      </w:r>
      <w:r>
        <w:rPr>
          <w:rFonts w:hint="eastAsia" w:ascii="宋体" w:hAnsi="宋体" w:cs="宋体"/>
          <w:b/>
          <w:bCs/>
          <w:color w:val="auto"/>
          <w:sz w:val="32"/>
          <w:szCs w:val="32"/>
          <w:lang w:val="en-US" w:eastAsia="zh-CN" w:bidi="ar"/>
        </w:rPr>
        <w:t>1</w:t>
      </w:r>
    </w:p>
    <w:p w14:paraId="67C4AC67">
      <w:pPr>
        <w:spacing w:line="560" w:lineRule="exact"/>
        <w:ind w:firstLine="720" w:firstLineChars="200"/>
        <w:jc w:val="center"/>
        <w:rPr>
          <w:rFonts w:hint="eastAsia" w:ascii="方正小标宋_GBK" w:hAnsi="方正小标宋_GBK" w:eastAsia="方正小标宋_GBK" w:cs="方正小标宋_GBK"/>
          <w:color w:val="auto"/>
          <w:sz w:val="36"/>
          <w:szCs w:val="36"/>
          <w:lang w:eastAsia="zh-CN" w:bidi="ar"/>
        </w:rPr>
      </w:pPr>
      <w:r>
        <w:rPr>
          <w:rFonts w:hint="eastAsia" w:ascii="方正小标宋_GBK" w:hAnsi="方正小标宋_GBK" w:eastAsia="方正小标宋_GBK" w:cs="方正小标宋_GBK"/>
          <w:color w:val="auto"/>
          <w:sz w:val="36"/>
          <w:szCs w:val="36"/>
          <w:lang w:eastAsia="zh-CN" w:bidi="ar"/>
        </w:rPr>
        <w:t>项目采购需求</w:t>
      </w:r>
    </w:p>
    <w:p w14:paraId="1BE0C9FA">
      <w:pPr>
        <w:pStyle w:val="9"/>
        <w:numPr>
          <w:ilvl w:val="0"/>
          <w:numId w:val="0"/>
        </w:numPr>
        <w:shd w:val="clear" w:color="auto" w:fill="auto"/>
        <w:spacing w:before="0" w:beforeLines="0" w:beforeAutospacing="0" w:after="0" w:afterLines="0" w:afterAutospacing="0" w:line="360" w:lineRule="auto"/>
        <w:ind w:leftChars="200"/>
        <w:jc w:val="left"/>
        <w:outlineLvl w:val="1"/>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一、项目内容</w:t>
      </w:r>
    </w:p>
    <w:p w14:paraId="49D417DF">
      <w:pPr>
        <w:pStyle w:val="11"/>
        <w:spacing w:before="120" w:after="120"/>
        <w:ind w:firstLine="482"/>
        <w:rPr>
          <w:rFonts w:hint="default"/>
          <w:color w:val="auto"/>
        </w:rPr>
      </w:pPr>
      <w:r>
        <w:rPr>
          <w:rFonts w:hint="eastAsia" w:ascii="宋体" w:hAnsi="宋体" w:eastAsia="宋体" w:cs="宋体"/>
          <w:b/>
          <w:bCs/>
          <w:color w:val="auto"/>
          <w:sz w:val="24"/>
          <w:szCs w:val="24"/>
          <w:highlight w:val="none"/>
          <w:lang w:val="en-US" w:eastAsia="zh-CN"/>
        </w:rPr>
        <w:t>（一）</w:t>
      </w:r>
      <w:r>
        <w:rPr>
          <w:rFonts w:hint="eastAsia" w:ascii="宋体" w:hAnsi="宋体" w:cs="宋体"/>
          <w:b/>
          <w:bCs/>
          <w:color w:val="auto"/>
          <w:sz w:val="24"/>
          <w:szCs w:val="24"/>
          <w:highlight w:val="none"/>
          <w:lang w:val="en-US" w:eastAsia="zh-CN"/>
        </w:rPr>
        <w:t>项目名称</w:t>
      </w:r>
    </w:p>
    <w:p w14:paraId="2B594DB8">
      <w:pPr>
        <w:pStyle w:val="10"/>
        <w:numPr>
          <w:ilvl w:val="0"/>
          <w:numId w:val="0"/>
        </w:numPr>
        <w:spacing w:beforeLines="0" w:beforeAutospacing="0" w:afterLines="0" w:afterAutospacing="0"/>
        <w:ind w:firstLine="480" w:firstLineChars="200"/>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2027-2029年青羊区“7+9+1”噪声自动监测站运维服务采购项目</w:t>
      </w:r>
    </w:p>
    <w:p w14:paraId="4847B549">
      <w:pPr>
        <w:pStyle w:val="10"/>
        <w:numPr>
          <w:ilvl w:val="0"/>
          <w:numId w:val="0"/>
        </w:numPr>
        <w:spacing w:beforeLines="0" w:beforeAutospacing="0" w:afterLines="0" w:afterAutospacing="0"/>
        <w:ind w:firstLine="482" w:firstLineChars="200"/>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（二）服务内容</w:t>
      </w:r>
    </w:p>
    <w:p w14:paraId="50B30884">
      <w:pPr>
        <w:pStyle w:val="10"/>
        <w:numPr>
          <w:ilvl w:val="0"/>
          <w:numId w:val="0"/>
        </w:numPr>
        <w:spacing w:beforeLines="0" w:beforeAutospacing="0" w:afterLines="0" w:afterAutospacing="0"/>
        <w:ind w:firstLine="480" w:firstLineChars="20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总体要求：严格按照噪声自动监测设备有关行业规范要求开展运维服务，参照《功能区声环境质量自动监测技术规范</w:t>
      </w:r>
      <w:bookmarkStart w:id="1" w:name="_GoBack"/>
      <w:bookmarkEnd w:id="1"/>
      <w:r>
        <w:rPr>
          <w:rFonts w:hint="eastAsia" w:ascii="宋体" w:hAnsi="宋体" w:eastAsia="宋体" w:cs="宋体"/>
          <w:b w:val="0"/>
          <w:bCs w:val="0"/>
          <w:color w:val="auto"/>
          <w:sz w:val="24"/>
          <w:szCs w:val="24"/>
          <w:highlight w:val="none"/>
          <w:lang w:val="en-US" w:eastAsia="zh-CN"/>
        </w:rPr>
        <w:t>》（HJ906-2017）、《环境噪声自动监测系统技术要求》（HJ907-2017）和《功能区声环境质量自动监测系统运行维护和质量控制技术要求（试行）》（（总站物字【2024】6号）、《四川省功能区声环境质量自动监测系统建设及运行管理暂行办法》及《四川省功能区声环境质量自动监测系统数据审核技术导则（暂行）》文件要求。本项目服务期间国家、四川省以及成都市有新的噪声自动站运维要求的，按最新要求执行。</w:t>
      </w:r>
    </w:p>
    <w:p w14:paraId="41C30158">
      <w:pPr>
        <w:pStyle w:val="10"/>
        <w:numPr>
          <w:ilvl w:val="0"/>
          <w:numId w:val="0"/>
        </w:numPr>
        <w:spacing w:beforeLines="0" w:beforeAutospacing="0" w:afterLines="0" w:afterAutospacing="0"/>
        <w:ind w:firstLine="480" w:firstLineChars="20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供应商负责承担履约期内7套功能区噪声自动监测子站（其中2套国控子站仅负责电费、网费和基础保障维修费）、9套人口密集区噪声自动监测显示设施和1套定向传声设备的电费、网络通信费、功能区噪声自动监测子站比对测试费、功能区噪声自动监测子站整机及气象采集单元检定或校准费、耗材配件费、备机备件费、人工费以及开展维护所需的一切费用。</w:t>
      </w:r>
    </w:p>
    <w:p w14:paraId="3448866E">
      <w:pPr>
        <w:pStyle w:val="10"/>
        <w:numPr>
          <w:ilvl w:val="0"/>
          <w:numId w:val="0"/>
        </w:numPr>
        <w:spacing w:beforeLines="0" w:beforeAutospacing="0" w:afterLines="0" w:afterAutospacing="0"/>
        <w:ind w:firstLine="482"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（三）服务要求</w:t>
      </w:r>
    </w:p>
    <w:p w14:paraId="1775ABAB">
      <w:pPr>
        <w:pStyle w:val="10"/>
        <w:numPr>
          <w:ilvl w:val="0"/>
          <w:numId w:val="0"/>
        </w:numPr>
        <w:spacing w:beforeLines="0" w:beforeAutospacing="0" w:afterLines="0" w:afterAutospacing="0"/>
        <w:ind w:firstLine="480" w:firstLineChars="20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1.供应商负责对17个站（点）的设备建立档案，包括点位信息（站点编号、地址、海拔、经纬度等）、设备信息（仪器型号、编号、运行时间、IP地址等）、仪器故障检修更换记录等。</w:t>
      </w:r>
    </w:p>
    <w:p w14:paraId="54629A3D">
      <w:pPr>
        <w:pStyle w:val="10"/>
        <w:numPr>
          <w:ilvl w:val="0"/>
          <w:numId w:val="0"/>
        </w:numPr>
        <w:spacing w:beforeLines="0" w:beforeAutospacing="0" w:afterLines="0" w:afterAutospacing="0"/>
        <w:ind w:firstLine="480" w:firstLineChars="20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2.供应商应指派固定的且具备相应技术能力的工作人员参与各噪声自动监测点位的日常维护，确保各监测站点正常运行，并配备开展维护工作所需的辅助工具。</w:t>
      </w:r>
    </w:p>
    <w:p w14:paraId="3D3E1114">
      <w:pPr>
        <w:pStyle w:val="10"/>
        <w:numPr>
          <w:ilvl w:val="0"/>
          <w:numId w:val="0"/>
        </w:numPr>
        <w:spacing w:beforeLines="0" w:beforeAutospacing="0" w:afterLines="0" w:afterAutospacing="0"/>
        <w:ind w:firstLine="480" w:firstLineChars="20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日常巡检维护：运维团队定期、不定期对噪声监测终端进行巡检，查看设备运行状态、数据传输情况、电源供应等参数，及时发现潜在异常；对监测终端的外观进行清洁，清除灰尘、污垢、杂物等，检查设备安装是否牢固，有无松动、损坏现象；对传感器、数据采集模块、通信模块等关键部件进行检查，确保连接正常、无腐蚀、无损坏；检查防雷、防雨、防风等防护设施是否完好有效，保障设备在恶劣天气条件下的安全运行。</w:t>
      </w:r>
    </w:p>
    <w:p w14:paraId="0A443C94">
      <w:pPr>
        <w:pStyle w:val="10"/>
        <w:numPr>
          <w:ilvl w:val="0"/>
          <w:numId w:val="0"/>
        </w:numPr>
        <w:spacing w:beforeLines="0" w:beforeAutospacing="0" w:afterLines="0" w:afterAutospacing="0"/>
        <w:ind w:firstLine="480" w:firstLineChars="20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（2）设备检定校准：依据国家计量标准与行业规范，定期对5套声环境功能区噪声自动监测设备进行检定校准，出具检定校准证书。</w:t>
      </w:r>
    </w:p>
    <w:p w14:paraId="2C037452">
      <w:pPr>
        <w:pStyle w:val="10"/>
        <w:numPr>
          <w:ilvl w:val="0"/>
          <w:numId w:val="0"/>
        </w:numPr>
        <w:spacing w:beforeLines="0" w:beforeAutospacing="0" w:afterLines="0" w:afterAutospacing="0"/>
        <w:ind w:firstLine="480" w:firstLineChars="20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（3）故障维修与应急处理：当噪声监测终端发生故障时，运维团队迅速启动故障响应流程，按照相应要求及时排除故障。</w:t>
      </w:r>
    </w:p>
    <w:p w14:paraId="7AB54388">
      <w:pPr>
        <w:pStyle w:val="10"/>
        <w:numPr>
          <w:ilvl w:val="0"/>
          <w:numId w:val="0"/>
        </w:numPr>
        <w:spacing w:beforeLines="0" w:beforeAutospacing="0" w:afterLines="0" w:afterAutospacing="0"/>
        <w:ind w:firstLine="480" w:firstLineChars="20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（4）协助基础保障：做好站点设备电力、通讯、网络、安全等基础条件保障，协助开展国控站和非国控站每月巡查，防范纠治选择性治理和人为干扰行为，发现问题如实记录并报告。</w:t>
      </w:r>
    </w:p>
    <w:p w14:paraId="4A4172F7">
      <w:pPr>
        <w:pStyle w:val="10"/>
        <w:numPr>
          <w:ilvl w:val="0"/>
          <w:numId w:val="0"/>
        </w:numPr>
        <w:spacing w:beforeLines="0" w:beforeAutospacing="0" w:afterLines="0" w:afterAutospacing="0"/>
        <w:ind w:firstLine="480" w:firstLineChars="20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供应商应指定专人通过监控系统（管理平台）每日对各站点运行情况进行跟踪检查，检查内容包括但不限于服务器是否正常、发布内容是否正常、站点时钟和日历设置是否正常、噪声监控系统是否运行正常以及监测数据是否异常等，每日检查情况按要求做好记录。</w:t>
      </w:r>
    </w:p>
    <w:p w14:paraId="2B39D965">
      <w:pPr>
        <w:pStyle w:val="10"/>
        <w:numPr>
          <w:ilvl w:val="0"/>
          <w:numId w:val="0"/>
        </w:numPr>
        <w:spacing w:beforeLines="0" w:beforeAutospacing="0" w:afterLines="0" w:afterAutospacing="0"/>
        <w:ind w:firstLine="480" w:firstLineChars="20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4.供应商应指定专人在规定时限按数据审核要求在噪声管理平台上完成各功能区噪声自动监测子站原始数据审核工作。</w:t>
      </w:r>
    </w:p>
    <w:p w14:paraId="72CA32F8">
      <w:pPr>
        <w:pageBreakBefore w:val="0"/>
        <w:widowControl w:val="0"/>
        <w:shd w:val="clear" w:color="auto" w:fill="auto"/>
        <w:kinsoku/>
        <w:wordWrap/>
        <w:overflowPunct/>
        <w:topLinePunct w:val="0"/>
        <w:autoSpaceDE/>
        <w:autoSpaceDN/>
        <w:bidi w:val="0"/>
        <w:adjustRightInd w:val="0"/>
        <w:snapToGrid w:val="0"/>
        <w:spacing w:line="360" w:lineRule="auto"/>
        <w:ind w:left="0" w:firstLine="480" w:firstLineChars="200"/>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5</w:t>
      </w:r>
      <w:r>
        <w:rPr>
          <w:rFonts w:hint="eastAsia" w:ascii="宋体" w:hAnsi="宋体" w:eastAsia="宋体" w:cs="宋体"/>
          <w:b w:val="0"/>
          <w:bCs w:val="0"/>
          <w:color w:val="auto"/>
          <w:sz w:val="24"/>
          <w:szCs w:val="24"/>
          <w:highlight w:val="none"/>
          <w:lang w:val="en-US" w:eastAsia="zh-CN"/>
        </w:rPr>
        <w:t>.供应商应在季度、半年、年结束后10天内向采购人提交季度、半年、年度运维报告。</w:t>
      </w:r>
    </w:p>
    <w:p w14:paraId="2502AA76">
      <w:pPr>
        <w:pStyle w:val="10"/>
        <w:numPr>
          <w:ilvl w:val="0"/>
          <w:numId w:val="0"/>
        </w:numPr>
        <w:spacing w:beforeLines="0" w:beforeAutospacing="0" w:afterLines="0" w:afterAutospacing="0"/>
        <w:ind w:firstLine="482" w:firstLineChars="20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6.运维设备清单</w:t>
      </w:r>
    </w:p>
    <w:tbl>
      <w:tblPr>
        <w:tblStyle w:val="6"/>
        <w:tblW w:w="82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83"/>
        <w:gridCol w:w="5959"/>
      </w:tblGrid>
      <w:tr w14:paraId="6776D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42" w:type="dxa"/>
            <w:gridSpan w:val="2"/>
            <w:noWrap w:val="0"/>
            <w:vAlign w:val="top"/>
          </w:tcPr>
          <w:p w14:paraId="04573B8C">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青羊区“7+9+1”噪声自动监测站设备清单</w:t>
            </w:r>
          </w:p>
        </w:tc>
      </w:tr>
      <w:tr w14:paraId="558B5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3" w:type="dxa"/>
            <w:vMerge w:val="restart"/>
            <w:noWrap w:val="0"/>
            <w:vAlign w:val="center"/>
          </w:tcPr>
          <w:p w14:paraId="087CF64C">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功能区噪声监测自动站7套</w:t>
            </w:r>
          </w:p>
        </w:tc>
        <w:tc>
          <w:tcPr>
            <w:tcW w:w="5959" w:type="dxa"/>
            <w:noWrap w:val="0"/>
            <w:vAlign w:val="center"/>
          </w:tcPr>
          <w:p w14:paraId="6053CB80">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长城社区</w:t>
            </w:r>
          </w:p>
        </w:tc>
      </w:tr>
      <w:tr w14:paraId="63C73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3" w:type="dxa"/>
            <w:vMerge w:val="continue"/>
            <w:noWrap w:val="0"/>
            <w:vAlign w:val="center"/>
          </w:tcPr>
          <w:p w14:paraId="10B9DC9C">
            <w:pPr>
              <w:spacing w:line="360" w:lineRule="auto"/>
              <w:jc w:val="center"/>
              <w:rPr>
                <w:rFonts w:hint="eastAsia" w:ascii="仿宋" w:hAnsi="仿宋" w:eastAsia="仿宋" w:cs="仿宋"/>
                <w:color w:val="auto"/>
                <w:sz w:val="24"/>
                <w:szCs w:val="24"/>
                <w:lang w:val="en-US" w:eastAsia="zh-CN"/>
              </w:rPr>
            </w:pPr>
          </w:p>
        </w:tc>
        <w:tc>
          <w:tcPr>
            <w:tcW w:w="5959" w:type="dxa"/>
            <w:noWrap w:val="0"/>
            <w:vAlign w:val="center"/>
          </w:tcPr>
          <w:p w14:paraId="6C867CF4">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成都青羊发展工业园</w:t>
            </w:r>
          </w:p>
        </w:tc>
      </w:tr>
      <w:tr w14:paraId="65487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3" w:type="dxa"/>
            <w:vMerge w:val="continue"/>
            <w:noWrap w:val="0"/>
            <w:vAlign w:val="center"/>
          </w:tcPr>
          <w:p w14:paraId="28D0EDC7">
            <w:pPr>
              <w:spacing w:line="360" w:lineRule="auto"/>
              <w:jc w:val="center"/>
              <w:rPr>
                <w:rFonts w:hint="eastAsia" w:ascii="仿宋" w:hAnsi="仿宋" w:eastAsia="仿宋" w:cs="仿宋"/>
                <w:color w:val="auto"/>
                <w:sz w:val="24"/>
                <w:szCs w:val="24"/>
                <w:lang w:val="en-US" w:eastAsia="zh-CN"/>
              </w:rPr>
            </w:pPr>
          </w:p>
        </w:tc>
        <w:tc>
          <w:tcPr>
            <w:tcW w:w="5959" w:type="dxa"/>
            <w:noWrap w:val="0"/>
            <w:vAlign w:val="center"/>
          </w:tcPr>
          <w:p w14:paraId="126421AA">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金鹏街</w:t>
            </w:r>
          </w:p>
        </w:tc>
      </w:tr>
      <w:tr w14:paraId="79A93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3" w:type="dxa"/>
            <w:vMerge w:val="continue"/>
            <w:noWrap w:val="0"/>
            <w:vAlign w:val="center"/>
          </w:tcPr>
          <w:p w14:paraId="725B6B70">
            <w:pPr>
              <w:spacing w:line="360" w:lineRule="auto"/>
              <w:jc w:val="center"/>
              <w:rPr>
                <w:rFonts w:hint="eastAsia" w:ascii="仿宋" w:hAnsi="仿宋" w:eastAsia="仿宋" w:cs="仿宋"/>
                <w:color w:val="auto"/>
                <w:sz w:val="24"/>
                <w:szCs w:val="24"/>
                <w:lang w:val="en-US" w:eastAsia="zh-CN"/>
              </w:rPr>
            </w:pPr>
          </w:p>
        </w:tc>
        <w:tc>
          <w:tcPr>
            <w:tcW w:w="5959" w:type="dxa"/>
            <w:noWrap w:val="0"/>
            <w:vAlign w:val="center"/>
          </w:tcPr>
          <w:p w14:paraId="594B236C">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芳邻路社区</w:t>
            </w:r>
          </w:p>
        </w:tc>
      </w:tr>
      <w:tr w14:paraId="59035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3" w:type="dxa"/>
            <w:vMerge w:val="continue"/>
            <w:noWrap w:val="0"/>
            <w:vAlign w:val="center"/>
          </w:tcPr>
          <w:p w14:paraId="7E1804DE">
            <w:pPr>
              <w:spacing w:line="360" w:lineRule="auto"/>
              <w:jc w:val="center"/>
              <w:rPr>
                <w:rFonts w:hint="eastAsia" w:ascii="仿宋" w:hAnsi="仿宋" w:eastAsia="仿宋" w:cs="仿宋"/>
                <w:color w:val="auto"/>
                <w:sz w:val="24"/>
                <w:szCs w:val="24"/>
                <w:lang w:val="en-US" w:eastAsia="zh-CN"/>
              </w:rPr>
            </w:pPr>
          </w:p>
        </w:tc>
        <w:tc>
          <w:tcPr>
            <w:tcW w:w="5959" w:type="dxa"/>
            <w:noWrap w:val="0"/>
            <w:vAlign w:val="center"/>
          </w:tcPr>
          <w:p w14:paraId="04915BDD">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川藏铁路青羊段</w:t>
            </w:r>
          </w:p>
        </w:tc>
      </w:tr>
      <w:tr w14:paraId="3F2C5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3" w:type="dxa"/>
            <w:vMerge w:val="continue"/>
            <w:noWrap w:val="0"/>
            <w:vAlign w:val="center"/>
          </w:tcPr>
          <w:p w14:paraId="77189F57">
            <w:pPr>
              <w:spacing w:line="360" w:lineRule="auto"/>
              <w:jc w:val="center"/>
              <w:rPr>
                <w:rFonts w:hint="eastAsia" w:ascii="仿宋" w:hAnsi="仿宋" w:eastAsia="仿宋" w:cs="仿宋"/>
                <w:color w:val="auto"/>
                <w:sz w:val="24"/>
                <w:szCs w:val="24"/>
                <w:lang w:val="en-US" w:eastAsia="zh-CN"/>
              </w:rPr>
            </w:pPr>
          </w:p>
        </w:tc>
        <w:tc>
          <w:tcPr>
            <w:tcW w:w="5959" w:type="dxa"/>
            <w:noWrap w:val="0"/>
            <w:vAlign w:val="center"/>
          </w:tcPr>
          <w:p w14:paraId="3CC50889">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草堂路社区（仅负责电费、网费和基础保障维修费）</w:t>
            </w:r>
          </w:p>
        </w:tc>
      </w:tr>
      <w:tr w14:paraId="2606B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3" w:type="dxa"/>
            <w:vMerge w:val="continue"/>
            <w:noWrap w:val="0"/>
            <w:vAlign w:val="center"/>
          </w:tcPr>
          <w:p w14:paraId="3D9386E5">
            <w:pPr>
              <w:spacing w:line="360" w:lineRule="auto"/>
              <w:jc w:val="center"/>
              <w:rPr>
                <w:rFonts w:hint="eastAsia" w:ascii="仿宋" w:hAnsi="仿宋" w:eastAsia="仿宋" w:cs="仿宋"/>
                <w:color w:val="auto"/>
                <w:sz w:val="24"/>
                <w:szCs w:val="24"/>
                <w:lang w:val="en-US" w:eastAsia="zh-CN"/>
              </w:rPr>
            </w:pPr>
          </w:p>
        </w:tc>
        <w:tc>
          <w:tcPr>
            <w:tcW w:w="5959" w:type="dxa"/>
            <w:noWrap w:val="0"/>
            <w:vAlign w:val="center"/>
          </w:tcPr>
          <w:p w14:paraId="510F4458">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浣花社区（仅负责电费、网费和基础保障维修费）</w:t>
            </w:r>
          </w:p>
        </w:tc>
      </w:tr>
      <w:tr w14:paraId="27AFB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3" w:type="dxa"/>
            <w:vMerge w:val="restart"/>
            <w:noWrap w:val="0"/>
            <w:vAlign w:val="center"/>
          </w:tcPr>
          <w:p w14:paraId="10AACAD7">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噪声自动监测显示设施9套</w:t>
            </w:r>
          </w:p>
        </w:tc>
        <w:tc>
          <w:tcPr>
            <w:tcW w:w="5959" w:type="dxa"/>
            <w:noWrap w:val="0"/>
            <w:vAlign w:val="center"/>
          </w:tcPr>
          <w:p w14:paraId="639AF535">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Coco蜜城</w:t>
            </w:r>
          </w:p>
        </w:tc>
      </w:tr>
      <w:tr w14:paraId="77789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3" w:type="dxa"/>
            <w:vMerge w:val="continue"/>
            <w:noWrap w:val="0"/>
            <w:vAlign w:val="center"/>
          </w:tcPr>
          <w:p w14:paraId="76869C25">
            <w:pPr>
              <w:spacing w:line="360" w:lineRule="auto"/>
              <w:jc w:val="center"/>
              <w:rPr>
                <w:rFonts w:hint="eastAsia" w:ascii="仿宋" w:hAnsi="仿宋" w:eastAsia="仿宋" w:cs="仿宋"/>
                <w:color w:val="auto"/>
                <w:sz w:val="24"/>
                <w:szCs w:val="24"/>
                <w:lang w:val="en-US" w:eastAsia="zh-CN"/>
              </w:rPr>
            </w:pPr>
          </w:p>
        </w:tc>
        <w:tc>
          <w:tcPr>
            <w:tcW w:w="5959" w:type="dxa"/>
            <w:noWrap w:val="0"/>
            <w:vAlign w:val="center"/>
          </w:tcPr>
          <w:p w14:paraId="464E706E">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天鹅湖</w:t>
            </w:r>
          </w:p>
        </w:tc>
      </w:tr>
      <w:tr w14:paraId="627A2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3" w:type="dxa"/>
            <w:vMerge w:val="continue"/>
            <w:noWrap w:val="0"/>
            <w:vAlign w:val="center"/>
          </w:tcPr>
          <w:p w14:paraId="07BB5DE8">
            <w:pPr>
              <w:spacing w:line="360" w:lineRule="auto"/>
              <w:jc w:val="center"/>
              <w:rPr>
                <w:rFonts w:hint="eastAsia" w:ascii="仿宋" w:hAnsi="仿宋" w:eastAsia="仿宋" w:cs="仿宋"/>
                <w:color w:val="auto"/>
                <w:sz w:val="24"/>
                <w:szCs w:val="24"/>
                <w:lang w:val="en-US" w:eastAsia="zh-CN"/>
              </w:rPr>
            </w:pPr>
          </w:p>
        </w:tc>
        <w:tc>
          <w:tcPr>
            <w:tcW w:w="5959" w:type="dxa"/>
            <w:noWrap w:val="0"/>
            <w:vAlign w:val="center"/>
          </w:tcPr>
          <w:p w14:paraId="14A3DF8F">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苏坡中路</w:t>
            </w:r>
          </w:p>
        </w:tc>
      </w:tr>
      <w:tr w14:paraId="434BD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3" w:type="dxa"/>
            <w:vMerge w:val="continue"/>
            <w:noWrap w:val="0"/>
            <w:vAlign w:val="center"/>
          </w:tcPr>
          <w:p w14:paraId="15724067">
            <w:pPr>
              <w:spacing w:line="360" w:lineRule="auto"/>
              <w:jc w:val="center"/>
              <w:rPr>
                <w:rFonts w:hint="eastAsia" w:ascii="仿宋" w:hAnsi="仿宋" w:eastAsia="仿宋" w:cs="仿宋"/>
                <w:color w:val="auto"/>
                <w:sz w:val="24"/>
                <w:szCs w:val="24"/>
                <w:lang w:val="en-US" w:eastAsia="zh-CN"/>
              </w:rPr>
            </w:pPr>
          </w:p>
        </w:tc>
        <w:tc>
          <w:tcPr>
            <w:tcW w:w="5959" w:type="dxa"/>
            <w:noWrap w:val="0"/>
            <w:vAlign w:val="center"/>
          </w:tcPr>
          <w:p w14:paraId="19CEE6E5">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金沙滨河公园1期</w:t>
            </w:r>
          </w:p>
        </w:tc>
      </w:tr>
      <w:tr w14:paraId="60F16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3" w:type="dxa"/>
            <w:vMerge w:val="continue"/>
            <w:noWrap w:val="0"/>
            <w:vAlign w:val="center"/>
          </w:tcPr>
          <w:p w14:paraId="7B2790E5">
            <w:pPr>
              <w:spacing w:line="360" w:lineRule="auto"/>
              <w:jc w:val="center"/>
              <w:rPr>
                <w:rFonts w:hint="eastAsia" w:ascii="仿宋" w:hAnsi="仿宋" w:eastAsia="仿宋" w:cs="仿宋"/>
                <w:color w:val="auto"/>
                <w:sz w:val="24"/>
                <w:szCs w:val="24"/>
                <w:lang w:val="en-US" w:eastAsia="zh-CN"/>
              </w:rPr>
            </w:pPr>
          </w:p>
        </w:tc>
        <w:tc>
          <w:tcPr>
            <w:tcW w:w="5959" w:type="dxa"/>
            <w:noWrap w:val="0"/>
            <w:vAlign w:val="center"/>
          </w:tcPr>
          <w:p w14:paraId="0519478C">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金沙滨河公园2期</w:t>
            </w:r>
          </w:p>
        </w:tc>
      </w:tr>
      <w:tr w14:paraId="0C52E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3" w:type="dxa"/>
            <w:vMerge w:val="continue"/>
            <w:noWrap w:val="0"/>
            <w:vAlign w:val="center"/>
          </w:tcPr>
          <w:p w14:paraId="3E5BEA6B">
            <w:pPr>
              <w:spacing w:line="360" w:lineRule="auto"/>
              <w:jc w:val="center"/>
              <w:rPr>
                <w:rFonts w:hint="eastAsia" w:ascii="仿宋" w:hAnsi="仿宋" w:eastAsia="仿宋" w:cs="仿宋"/>
                <w:color w:val="auto"/>
                <w:sz w:val="24"/>
                <w:szCs w:val="24"/>
                <w:lang w:val="en-US" w:eastAsia="zh-CN"/>
              </w:rPr>
            </w:pPr>
          </w:p>
        </w:tc>
        <w:tc>
          <w:tcPr>
            <w:tcW w:w="5959" w:type="dxa"/>
            <w:noWrap w:val="0"/>
            <w:vAlign w:val="center"/>
          </w:tcPr>
          <w:p w14:paraId="18653F3C">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清源三路</w:t>
            </w:r>
          </w:p>
        </w:tc>
      </w:tr>
      <w:tr w14:paraId="54902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3" w:type="dxa"/>
            <w:vMerge w:val="continue"/>
            <w:noWrap w:val="0"/>
            <w:vAlign w:val="center"/>
          </w:tcPr>
          <w:p w14:paraId="2876F4A6">
            <w:pPr>
              <w:spacing w:line="360" w:lineRule="auto"/>
              <w:jc w:val="center"/>
              <w:rPr>
                <w:rFonts w:hint="eastAsia" w:ascii="仿宋" w:hAnsi="仿宋" w:eastAsia="仿宋" w:cs="仿宋"/>
                <w:color w:val="auto"/>
                <w:sz w:val="24"/>
                <w:szCs w:val="24"/>
                <w:lang w:val="en-US" w:eastAsia="zh-CN"/>
              </w:rPr>
            </w:pPr>
          </w:p>
        </w:tc>
        <w:tc>
          <w:tcPr>
            <w:tcW w:w="5959" w:type="dxa"/>
            <w:noWrap w:val="0"/>
            <w:vAlign w:val="center"/>
          </w:tcPr>
          <w:p w14:paraId="5AC029F1">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同辉园公园</w:t>
            </w:r>
          </w:p>
        </w:tc>
      </w:tr>
      <w:tr w14:paraId="2A58F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3" w:type="dxa"/>
            <w:vMerge w:val="continue"/>
            <w:noWrap w:val="0"/>
            <w:vAlign w:val="center"/>
          </w:tcPr>
          <w:p w14:paraId="65856C94">
            <w:pPr>
              <w:spacing w:line="360" w:lineRule="auto"/>
              <w:jc w:val="center"/>
              <w:rPr>
                <w:rFonts w:hint="eastAsia" w:ascii="仿宋" w:hAnsi="仿宋" w:eastAsia="仿宋" w:cs="仿宋"/>
                <w:color w:val="auto"/>
                <w:sz w:val="24"/>
                <w:szCs w:val="24"/>
                <w:lang w:val="en-US" w:eastAsia="zh-CN"/>
              </w:rPr>
            </w:pPr>
          </w:p>
        </w:tc>
        <w:tc>
          <w:tcPr>
            <w:tcW w:w="5959" w:type="dxa"/>
            <w:noWrap w:val="0"/>
            <w:vAlign w:val="center"/>
          </w:tcPr>
          <w:p w14:paraId="5C7E9930">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清水河清波公园</w:t>
            </w:r>
          </w:p>
        </w:tc>
      </w:tr>
      <w:tr w14:paraId="0115A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3" w:type="dxa"/>
            <w:vMerge w:val="continue"/>
            <w:noWrap w:val="0"/>
            <w:vAlign w:val="center"/>
          </w:tcPr>
          <w:p w14:paraId="647E0CAC">
            <w:pPr>
              <w:spacing w:line="360" w:lineRule="auto"/>
              <w:jc w:val="center"/>
              <w:rPr>
                <w:rFonts w:hint="eastAsia" w:ascii="仿宋" w:hAnsi="仿宋" w:eastAsia="仿宋" w:cs="仿宋"/>
                <w:color w:val="auto"/>
                <w:sz w:val="24"/>
                <w:szCs w:val="24"/>
                <w:lang w:val="en-US" w:eastAsia="zh-CN"/>
              </w:rPr>
            </w:pPr>
          </w:p>
        </w:tc>
        <w:tc>
          <w:tcPr>
            <w:tcW w:w="5959" w:type="dxa"/>
            <w:noWrap w:val="0"/>
            <w:vAlign w:val="center"/>
          </w:tcPr>
          <w:p w14:paraId="2F697EDF">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石人公园</w:t>
            </w:r>
          </w:p>
        </w:tc>
      </w:tr>
      <w:tr w14:paraId="74932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3" w:type="dxa"/>
            <w:noWrap w:val="0"/>
            <w:vAlign w:val="center"/>
          </w:tcPr>
          <w:p w14:paraId="74CB6A29">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定向传声设备1套</w:t>
            </w:r>
          </w:p>
        </w:tc>
        <w:tc>
          <w:tcPr>
            <w:tcW w:w="5959" w:type="dxa"/>
            <w:noWrap w:val="0"/>
            <w:vAlign w:val="center"/>
          </w:tcPr>
          <w:p w14:paraId="4D287D99">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同瑞园</w:t>
            </w:r>
          </w:p>
        </w:tc>
      </w:tr>
    </w:tbl>
    <w:p w14:paraId="4198B10F">
      <w:pPr>
        <w:pStyle w:val="2"/>
        <w:ind w:firstLine="420" w:firstLineChars="200"/>
        <w:rPr>
          <w:rFonts w:hint="default"/>
          <w:color w:val="auto"/>
          <w:lang w:val="en-US" w:eastAsia="zh-CN"/>
        </w:rPr>
      </w:pPr>
    </w:p>
    <w:p w14:paraId="1826936F">
      <w:pPr>
        <w:pageBreakBefore w:val="0"/>
        <w:widowControl w:val="0"/>
        <w:shd w:val="clear" w:color="auto" w:fill="auto"/>
        <w:kinsoku/>
        <w:wordWrap/>
        <w:overflowPunct/>
        <w:topLinePunct w:val="0"/>
        <w:autoSpaceDE/>
        <w:autoSpaceDN/>
        <w:bidi w:val="0"/>
        <w:adjustRightInd w:val="0"/>
        <w:snapToGrid w:val="0"/>
        <w:spacing w:line="360" w:lineRule="auto"/>
        <w:ind w:left="0" w:firstLine="430" w:firstLineChars="200"/>
        <w:textAlignment w:val="auto"/>
        <w:outlineLvl w:val="9"/>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pacing w:val="-13"/>
          <w:sz w:val="24"/>
          <w:szCs w:val="24"/>
          <w:highlight w:val="none"/>
          <w:lang w:val="en-US" w:eastAsia="zh-CN"/>
        </w:rPr>
        <w:t>二</w:t>
      </w:r>
      <w:r>
        <w:rPr>
          <w:rFonts w:hint="eastAsia" w:ascii="宋体" w:hAnsi="宋体" w:eastAsia="宋体" w:cs="宋体"/>
          <w:b/>
          <w:bCs/>
          <w:color w:val="auto"/>
          <w:sz w:val="24"/>
          <w:szCs w:val="24"/>
          <w:highlight w:val="none"/>
          <w:lang w:val="en-US" w:eastAsia="zh-CN"/>
        </w:rPr>
        <w:t>、商务</w:t>
      </w:r>
      <w:r>
        <w:rPr>
          <w:rFonts w:hint="eastAsia" w:ascii="宋体" w:hAnsi="宋体" w:eastAsia="宋体" w:cs="宋体"/>
          <w:b/>
          <w:bCs/>
          <w:color w:val="auto"/>
          <w:sz w:val="24"/>
          <w:szCs w:val="24"/>
          <w:highlight w:val="none"/>
        </w:rPr>
        <w:t>要求</w:t>
      </w:r>
    </w:p>
    <w:p w14:paraId="41636EA2">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color w:val="auto"/>
          <w:sz w:val="24"/>
          <w:szCs w:val="24"/>
          <w:highlight w:val="none"/>
          <w:lang w:val="en-US" w:eastAsia="zh-CN"/>
        </w:rPr>
      </w:pPr>
      <w:bookmarkStart w:id="0" w:name="_Toc9705"/>
      <w:r>
        <w:rPr>
          <w:rFonts w:hint="eastAsia" w:ascii="宋体" w:hAnsi="宋体" w:eastAsia="宋体" w:cs="宋体"/>
          <w:color w:val="auto"/>
          <w:sz w:val="24"/>
          <w:szCs w:val="24"/>
          <w:highlight w:val="none"/>
          <w:lang w:val="en-US" w:eastAsia="zh-CN"/>
        </w:rPr>
        <w:t>1、服务期限：自合同签订之日起3年（本项目一采三年，合同一年一签，第二年根据考核结果决定是否续签下一年合同）。</w:t>
      </w:r>
    </w:p>
    <w:p w14:paraId="7135D089">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2、服务地点：成都市青羊区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具体地点</w:t>
      </w:r>
      <w:r>
        <w:rPr>
          <w:rFonts w:hint="eastAsia" w:ascii="宋体" w:hAnsi="宋体" w:eastAsia="宋体" w:cs="宋体"/>
          <w:i w:val="0"/>
          <w:iCs w:val="0"/>
          <w:color w:val="auto"/>
          <w:kern w:val="0"/>
          <w:sz w:val="24"/>
          <w:szCs w:val="24"/>
          <w:highlight w:val="none"/>
          <w:u w:val="none"/>
          <w:lang w:val="en-US" w:eastAsia="zh-CN" w:bidi="ar"/>
        </w:rPr>
        <w:t>以</w:t>
      </w:r>
      <w:r>
        <w:rPr>
          <w:rFonts w:hint="eastAsia" w:ascii="宋体" w:hAnsi="宋体" w:cs="宋体"/>
          <w:color w:val="auto"/>
          <w:sz w:val="24"/>
          <w:szCs w:val="24"/>
          <w:highlight w:val="none"/>
          <w:lang w:val="en-US" w:eastAsia="zh-CN"/>
        </w:rPr>
        <w:t>采购人</w:t>
      </w:r>
      <w:r>
        <w:rPr>
          <w:rFonts w:hint="eastAsia" w:ascii="宋体" w:hAnsi="宋体" w:eastAsia="宋体" w:cs="宋体"/>
          <w:color w:val="auto"/>
          <w:sz w:val="24"/>
          <w:szCs w:val="24"/>
          <w:highlight w:val="none"/>
          <w:lang w:val="en-US" w:eastAsia="zh-CN"/>
        </w:rPr>
        <w:t>通知为准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w:t>
      </w:r>
    </w:p>
    <w:p w14:paraId="36CF1F11">
      <w:pPr>
        <w:adjustRightInd w:val="0"/>
        <w:snapToGrid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bookmarkEnd w:id="0"/>
      <w:r>
        <w:rPr>
          <w:rFonts w:hint="eastAsia" w:ascii="宋体" w:hAnsi="宋体" w:eastAsia="宋体" w:cs="宋体"/>
          <w:color w:val="auto"/>
          <w:sz w:val="24"/>
          <w:szCs w:val="24"/>
          <w:highlight w:val="none"/>
          <w:lang w:val="en-US" w:eastAsia="zh-CN"/>
        </w:rPr>
        <w:t>付款方式：（1）签订采购服务合同后，甲方自收到乙方发票后（因系统固化原因，支付时限按工作日执行)，达到付款条件起10日内，支付合同总金额的40.00%；（2）第二笔款项，服务期满6个月，经甲方考核后，达到付款条件起10日内，支付合同总金额的40.00%；（3）尾款，服务期结束，经甲方组织该年度履约验收，验收合格后，甲方自收到乙方发票后向乙方据实支付剩余合同金额，达到付款条件起10日内，支付合同总金额的20.00%。</w:t>
      </w:r>
    </w:p>
    <w:p w14:paraId="2B1C1742">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4、履约验收：本次采购项目</w:t>
      </w:r>
      <w:r>
        <w:rPr>
          <w:rFonts w:hint="eastAsia" w:ascii="宋体" w:hAnsi="宋体" w:cs="宋体"/>
          <w:color w:val="auto"/>
          <w:sz w:val="24"/>
          <w:szCs w:val="24"/>
          <w:highlight w:val="none"/>
          <w:lang w:val="en-US" w:eastAsia="zh-CN"/>
        </w:rPr>
        <w:t>采购人</w:t>
      </w:r>
      <w:r>
        <w:rPr>
          <w:rFonts w:hint="eastAsia" w:ascii="宋体" w:hAnsi="宋体" w:eastAsia="宋体" w:cs="宋体"/>
          <w:color w:val="auto"/>
          <w:sz w:val="24"/>
          <w:szCs w:val="24"/>
          <w:highlight w:val="none"/>
          <w:lang w:val="en-US" w:eastAsia="zh-CN"/>
        </w:rPr>
        <w:t>将严格按照政府采购相关法律法规以及《财政部关于进一步加强政府采购需求和履约验收管理的指导意见》(财库〔2016〕205号)、财政部《政府采购需求管理办法》（财库〔2021〕22号），</w:t>
      </w:r>
      <w:r>
        <w:rPr>
          <w:rFonts w:hint="eastAsia" w:ascii="宋体" w:hAnsi="宋体" w:cs="宋体"/>
          <w:color w:val="auto"/>
          <w:sz w:val="24"/>
          <w:szCs w:val="24"/>
          <w:highlight w:val="none"/>
          <w:lang w:val="en-US" w:eastAsia="zh-CN"/>
        </w:rPr>
        <w:t>采购</w:t>
      </w:r>
      <w:r>
        <w:rPr>
          <w:rFonts w:hint="eastAsia" w:ascii="宋体" w:hAnsi="宋体" w:eastAsia="宋体" w:cs="宋体"/>
          <w:color w:val="auto"/>
          <w:sz w:val="24"/>
          <w:szCs w:val="24"/>
          <w:highlight w:val="none"/>
          <w:lang w:val="en-US" w:eastAsia="zh-CN"/>
        </w:rPr>
        <w:t>文件的相关要求、</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的</w:t>
      </w:r>
      <w:r>
        <w:rPr>
          <w:rFonts w:hint="eastAsia" w:ascii="宋体" w:hAnsi="宋体" w:cs="宋体"/>
          <w:color w:val="auto"/>
          <w:sz w:val="24"/>
          <w:szCs w:val="24"/>
          <w:highlight w:val="none"/>
          <w:lang w:val="zh-CN" w:eastAsia="zh-CN"/>
        </w:rPr>
        <w:t>采购</w:t>
      </w:r>
      <w:r>
        <w:rPr>
          <w:rFonts w:hint="eastAsia" w:ascii="宋体" w:hAnsi="宋体" w:eastAsia="宋体" w:cs="宋体"/>
          <w:color w:val="auto"/>
          <w:sz w:val="24"/>
          <w:szCs w:val="24"/>
          <w:highlight w:val="none"/>
          <w:lang w:val="zh-CN" w:eastAsia="zh-CN"/>
        </w:rPr>
        <w:t>申请</w:t>
      </w:r>
      <w:r>
        <w:rPr>
          <w:rFonts w:hint="eastAsia" w:ascii="宋体" w:hAnsi="宋体" w:eastAsia="宋体" w:cs="宋体"/>
          <w:color w:val="auto"/>
          <w:sz w:val="24"/>
          <w:szCs w:val="24"/>
          <w:highlight w:val="none"/>
          <w:lang w:val="en-US" w:eastAsia="zh-CN"/>
        </w:rPr>
        <w:t>书及承诺进行验收。</w:t>
      </w:r>
    </w:p>
    <w:p w14:paraId="02DD2959">
      <w:pPr>
        <w:rPr>
          <w:rFonts w:hint="eastAsia" w:ascii="方正黑体_GBK" w:hAnsi="方正黑体_GBK" w:eastAsia="方正黑体_GBK" w:cs="方正黑体_GBK"/>
          <w:color w:val="auto"/>
          <w:sz w:val="28"/>
          <w:szCs w:val="28"/>
          <w:lang w:val="en-US" w:eastAsia="zh-CN"/>
        </w:rPr>
      </w:pPr>
    </w:p>
    <w:p w14:paraId="04AC1723">
      <w:pPr>
        <w:rPr>
          <w:rFonts w:hint="eastAsia" w:ascii="方正黑体_GBK" w:hAnsi="方正黑体_GBK" w:eastAsia="方正黑体_GBK" w:cs="方正黑体_GBK"/>
          <w:color w:val="auto"/>
          <w:sz w:val="28"/>
          <w:szCs w:val="28"/>
          <w:lang w:val="en-US" w:eastAsia="zh-CN"/>
        </w:rPr>
      </w:pPr>
      <w:r>
        <w:rPr>
          <w:rFonts w:hint="eastAsia" w:ascii="方正黑体_GBK" w:hAnsi="方正黑体_GBK" w:eastAsia="方正黑体_GBK" w:cs="方正黑体_GBK"/>
          <w:color w:val="auto"/>
          <w:sz w:val="28"/>
          <w:szCs w:val="28"/>
          <w:lang w:val="en-US" w:eastAsia="zh-CN"/>
        </w:rPr>
        <w:br w:type="page"/>
      </w:r>
    </w:p>
    <w:p w14:paraId="240C5EF1">
      <w:pPr>
        <w:jc w:val="left"/>
        <w:rPr>
          <w:rFonts w:hint="default" w:ascii="方正黑体_GBK" w:hAnsi="方正黑体_GBK" w:eastAsia="方正黑体_GBK" w:cs="方正黑体_GBK"/>
          <w:color w:val="auto"/>
          <w:sz w:val="28"/>
          <w:szCs w:val="28"/>
          <w:lang w:val="en-US" w:eastAsia="zh-CN"/>
        </w:rPr>
      </w:pPr>
      <w:r>
        <w:rPr>
          <w:rFonts w:hint="eastAsia" w:ascii="方正黑体_GBK" w:hAnsi="方正黑体_GBK" w:eastAsia="方正黑体_GBK" w:cs="方正黑体_GBK"/>
          <w:color w:val="auto"/>
          <w:sz w:val="28"/>
          <w:szCs w:val="28"/>
          <w:lang w:val="en-US" w:eastAsia="zh-CN"/>
        </w:rPr>
        <w:t>附件2：</w:t>
      </w:r>
    </w:p>
    <w:p w14:paraId="5CE2D1EF">
      <w:pPr>
        <w:spacing w:before="315" w:beforeLines="100" w:beforeAutospacing="0" w:after="423" w:afterLines="135" w:afterAutospacing="0"/>
        <w:jc w:val="center"/>
        <w:rPr>
          <w:rFonts w:hint="eastAsia" w:ascii="方正黑体_GBK" w:hAnsi="方正黑体_GBK" w:eastAsia="方正黑体_GBK" w:cs="方正黑体_GBK"/>
          <w:color w:val="auto"/>
          <w:sz w:val="36"/>
          <w:szCs w:val="36"/>
          <w:lang w:val="en-US" w:eastAsia="zh-CN"/>
        </w:rPr>
      </w:pPr>
      <w:r>
        <w:rPr>
          <w:rFonts w:hint="eastAsia" w:ascii="方正黑体_GBK" w:hAnsi="方正黑体_GBK" w:eastAsia="方正黑体_GBK" w:cs="方正黑体_GBK"/>
          <w:color w:val="auto"/>
          <w:sz w:val="36"/>
          <w:szCs w:val="36"/>
          <w:lang w:val="en-US" w:eastAsia="zh-CN"/>
        </w:rPr>
        <w:t>询价回复函</w:t>
      </w:r>
    </w:p>
    <w:p w14:paraId="68A805B5">
      <w:pPr>
        <w:rPr>
          <w:rFonts w:hint="eastAsia" w:ascii="方正仿宋_GBK" w:hAnsi="方正仿宋_GBK" w:eastAsia="方正仿宋_GBK" w:cs="方正仿宋_GBK"/>
          <w:color w:val="auto"/>
          <w:sz w:val="30"/>
          <w:szCs w:val="30"/>
          <w:lang w:eastAsia="zh-CN"/>
        </w:rPr>
      </w:pPr>
      <w:r>
        <w:rPr>
          <w:rFonts w:hint="eastAsia" w:ascii="方正仿宋_GBK" w:hAnsi="方正仿宋_GBK" w:eastAsia="方正仿宋_GBK" w:cs="方正仿宋_GBK"/>
          <w:color w:val="auto"/>
          <w:sz w:val="30"/>
          <w:szCs w:val="30"/>
        </w:rPr>
        <w:t>成都市青羊生态环境局</w:t>
      </w:r>
      <w:r>
        <w:rPr>
          <w:rFonts w:hint="eastAsia" w:ascii="方正仿宋_GBK" w:hAnsi="方正仿宋_GBK" w:eastAsia="方正仿宋_GBK" w:cs="方正仿宋_GBK"/>
          <w:color w:val="auto"/>
          <w:sz w:val="30"/>
          <w:szCs w:val="30"/>
          <w:lang w:eastAsia="zh-CN"/>
        </w:rPr>
        <w:t>：</w:t>
      </w:r>
    </w:p>
    <w:p w14:paraId="0698A5DC">
      <w:pPr>
        <w:ind w:firstLine="600" w:firstLineChars="200"/>
        <w:rPr>
          <w:rFonts w:hint="eastAsia" w:ascii="方正仿宋_GBK" w:hAnsi="方正仿宋_GBK" w:eastAsia="方正仿宋_GBK" w:cs="方正仿宋_GBK"/>
          <w:color w:val="auto"/>
          <w:sz w:val="30"/>
          <w:szCs w:val="30"/>
          <w:lang w:val="en-US" w:eastAsia="zh-CN"/>
        </w:rPr>
      </w:pPr>
      <w:r>
        <w:rPr>
          <w:rFonts w:hint="eastAsia" w:ascii="方正仿宋_GBK" w:hAnsi="方正仿宋_GBK" w:eastAsia="方正仿宋_GBK" w:cs="方正仿宋_GBK"/>
          <w:color w:val="auto"/>
          <w:sz w:val="30"/>
          <w:szCs w:val="30"/>
          <w:lang w:val="en-US" w:eastAsia="zh-CN"/>
        </w:rPr>
        <w:t>感谢贵单位的来函，经过我们专业团体的仔细研究和评估，我们理解了贵单位</w:t>
      </w:r>
      <w:r>
        <w:rPr>
          <w:rFonts w:hint="eastAsia" w:ascii="方正仿宋_GBK" w:hAnsi="方正仿宋_GBK" w:eastAsia="方正仿宋_GBK" w:cs="方正仿宋_GBK"/>
          <w:color w:val="auto"/>
          <w:sz w:val="30"/>
          <w:szCs w:val="30"/>
          <w:u w:val="single"/>
          <w:lang w:val="en-US" w:eastAsia="zh-CN"/>
        </w:rPr>
        <w:t xml:space="preserve">                                        </w:t>
      </w:r>
      <w:r>
        <w:rPr>
          <w:rFonts w:hint="eastAsia" w:ascii="方正仿宋_GBK" w:hAnsi="方正仿宋_GBK" w:eastAsia="方正仿宋_GBK" w:cs="方正仿宋_GBK"/>
          <w:color w:val="auto"/>
          <w:sz w:val="30"/>
          <w:szCs w:val="30"/>
          <w:lang w:val="en-US" w:eastAsia="zh-CN"/>
        </w:rPr>
        <w:t>采购项目的需求，我司结合该项目具体要求和我司实际经营情况，提供该项目询价报价为：</w:t>
      </w:r>
      <w:r>
        <w:rPr>
          <w:rFonts w:hint="eastAsia" w:ascii="方正仿宋_GBK" w:hAnsi="方正仿宋_GBK" w:eastAsia="方正仿宋_GBK" w:cs="方正仿宋_GBK"/>
          <w:color w:val="auto"/>
          <w:sz w:val="30"/>
          <w:szCs w:val="30"/>
        </w:rPr>
        <w:t>人民币</w:t>
      </w:r>
      <w:r>
        <w:rPr>
          <w:rFonts w:hint="eastAsia" w:ascii="方正仿宋_GBK" w:hAnsi="方正仿宋_GBK" w:eastAsia="方正仿宋_GBK" w:cs="方正仿宋_GBK"/>
          <w:color w:val="auto"/>
          <w:sz w:val="30"/>
          <w:szCs w:val="30"/>
          <w:u w:val="single"/>
        </w:rPr>
        <w:t xml:space="preserve">    </w:t>
      </w:r>
      <w:r>
        <w:rPr>
          <w:rFonts w:hint="eastAsia" w:ascii="方正仿宋_GBK" w:hAnsi="方正仿宋_GBK" w:eastAsia="方正仿宋_GBK" w:cs="方正仿宋_GBK"/>
          <w:color w:val="auto"/>
          <w:sz w:val="30"/>
          <w:szCs w:val="30"/>
          <w:u w:val="single"/>
          <w:lang w:val="en-US" w:eastAsia="zh-CN"/>
        </w:rPr>
        <w:t xml:space="preserve">    </w:t>
      </w:r>
      <w:r>
        <w:rPr>
          <w:rFonts w:hint="eastAsia" w:ascii="方正仿宋_GBK" w:hAnsi="方正仿宋_GBK" w:eastAsia="方正仿宋_GBK" w:cs="方正仿宋_GBK"/>
          <w:color w:val="auto"/>
          <w:sz w:val="30"/>
          <w:szCs w:val="30"/>
          <w:u w:val="single"/>
        </w:rPr>
        <w:t xml:space="preserve"> </w:t>
      </w:r>
      <w:r>
        <w:rPr>
          <w:rFonts w:hint="eastAsia" w:ascii="方正仿宋_GBK" w:hAnsi="方正仿宋_GBK" w:eastAsia="方正仿宋_GBK" w:cs="方正仿宋_GBK"/>
          <w:color w:val="auto"/>
          <w:sz w:val="30"/>
          <w:szCs w:val="30"/>
          <w:u w:val="single"/>
          <w:lang w:val="en-US" w:eastAsia="zh-CN"/>
        </w:rPr>
        <w:t xml:space="preserve">  </w:t>
      </w:r>
      <w:r>
        <w:rPr>
          <w:rFonts w:hint="eastAsia" w:ascii="方正仿宋_GBK" w:hAnsi="方正仿宋_GBK" w:eastAsia="方正仿宋_GBK" w:cs="方正仿宋_GBK"/>
          <w:color w:val="auto"/>
          <w:sz w:val="30"/>
          <w:szCs w:val="30"/>
          <w:u w:val="single"/>
        </w:rPr>
        <w:t xml:space="preserve">  </w:t>
      </w:r>
      <w:r>
        <w:rPr>
          <w:rFonts w:hint="eastAsia" w:ascii="方正仿宋_GBK" w:hAnsi="方正仿宋_GBK" w:eastAsia="方正仿宋_GBK" w:cs="方正仿宋_GBK"/>
          <w:color w:val="auto"/>
          <w:sz w:val="30"/>
          <w:szCs w:val="30"/>
        </w:rPr>
        <w:t>元</w:t>
      </w:r>
      <w:r>
        <w:rPr>
          <w:rFonts w:hint="eastAsia" w:ascii="方正仿宋_GBK" w:hAnsi="方正仿宋_GBK" w:eastAsia="方正仿宋_GBK" w:cs="方正仿宋_GBK"/>
          <w:color w:val="auto"/>
          <w:sz w:val="30"/>
          <w:szCs w:val="30"/>
          <w:lang w:val="en-US" w:eastAsia="zh-CN"/>
        </w:rPr>
        <w:t>/年。设备运维服务分项报价表如下：</w:t>
      </w:r>
    </w:p>
    <w:tbl>
      <w:tblPr>
        <w:tblStyle w:val="6"/>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6"/>
        <w:gridCol w:w="4365"/>
        <w:gridCol w:w="2221"/>
      </w:tblGrid>
      <w:tr w14:paraId="5EAEE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01" w:type="dxa"/>
            <w:gridSpan w:val="2"/>
            <w:noWrap w:val="0"/>
            <w:vAlign w:val="top"/>
          </w:tcPr>
          <w:p w14:paraId="3C6C37F9">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青羊区“7+9+1”噪声自动监测站设备清单</w:t>
            </w:r>
          </w:p>
        </w:tc>
        <w:tc>
          <w:tcPr>
            <w:tcW w:w="2221" w:type="dxa"/>
            <w:noWrap w:val="0"/>
            <w:vAlign w:val="top"/>
          </w:tcPr>
          <w:p w14:paraId="543EC9C4">
            <w:pPr>
              <w:spacing w:line="36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设备运维服务报价</w:t>
            </w:r>
          </w:p>
        </w:tc>
      </w:tr>
      <w:tr w14:paraId="4956F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6" w:type="dxa"/>
            <w:vMerge w:val="restart"/>
            <w:noWrap w:val="0"/>
            <w:vAlign w:val="center"/>
          </w:tcPr>
          <w:p w14:paraId="70A4F097">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功能区噪声监测自动站7套</w:t>
            </w:r>
          </w:p>
        </w:tc>
        <w:tc>
          <w:tcPr>
            <w:tcW w:w="4365" w:type="dxa"/>
            <w:noWrap w:val="0"/>
            <w:vAlign w:val="center"/>
          </w:tcPr>
          <w:p w14:paraId="5A68945E">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长城社区</w:t>
            </w:r>
          </w:p>
        </w:tc>
        <w:tc>
          <w:tcPr>
            <w:tcW w:w="2221" w:type="dxa"/>
            <w:vMerge w:val="restart"/>
            <w:noWrap w:val="0"/>
            <w:vAlign w:val="center"/>
          </w:tcPr>
          <w:p w14:paraId="67D4AD87">
            <w:pPr>
              <w:spacing w:line="36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 元/套/年</w:t>
            </w:r>
          </w:p>
        </w:tc>
      </w:tr>
      <w:tr w14:paraId="00208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6" w:type="dxa"/>
            <w:vMerge w:val="continue"/>
            <w:noWrap w:val="0"/>
            <w:vAlign w:val="center"/>
          </w:tcPr>
          <w:p w14:paraId="7642C75A">
            <w:pPr>
              <w:spacing w:line="360" w:lineRule="auto"/>
              <w:jc w:val="center"/>
              <w:rPr>
                <w:rFonts w:hint="eastAsia" w:ascii="仿宋" w:hAnsi="仿宋" w:eastAsia="仿宋" w:cs="仿宋"/>
                <w:color w:val="auto"/>
                <w:sz w:val="24"/>
                <w:szCs w:val="24"/>
                <w:lang w:val="en-US" w:eastAsia="zh-CN"/>
              </w:rPr>
            </w:pPr>
          </w:p>
        </w:tc>
        <w:tc>
          <w:tcPr>
            <w:tcW w:w="4365" w:type="dxa"/>
            <w:noWrap w:val="0"/>
            <w:vAlign w:val="center"/>
          </w:tcPr>
          <w:p w14:paraId="5A7C636F">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成都青羊发展工业园</w:t>
            </w:r>
          </w:p>
        </w:tc>
        <w:tc>
          <w:tcPr>
            <w:tcW w:w="2221" w:type="dxa"/>
            <w:vMerge w:val="continue"/>
            <w:noWrap w:val="0"/>
            <w:vAlign w:val="center"/>
          </w:tcPr>
          <w:p w14:paraId="35D9AE69">
            <w:pPr>
              <w:spacing w:line="360" w:lineRule="auto"/>
              <w:jc w:val="center"/>
              <w:rPr>
                <w:rFonts w:hint="eastAsia" w:ascii="仿宋" w:hAnsi="仿宋" w:eastAsia="仿宋" w:cs="仿宋"/>
                <w:color w:val="auto"/>
                <w:sz w:val="24"/>
                <w:szCs w:val="24"/>
                <w:lang w:val="en-US" w:eastAsia="zh-CN"/>
              </w:rPr>
            </w:pPr>
          </w:p>
        </w:tc>
      </w:tr>
      <w:tr w14:paraId="34087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6" w:type="dxa"/>
            <w:vMerge w:val="continue"/>
            <w:noWrap w:val="0"/>
            <w:vAlign w:val="center"/>
          </w:tcPr>
          <w:p w14:paraId="33C1E002">
            <w:pPr>
              <w:spacing w:line="360" w:lineRule="auto"/>
              <w:jc w:val="center"/>
              <w:rPr>
                <w:rFonts w:hint="eastAsia" w:ascii="仿宋" w:hAnsi="仿宋" w:eastAsia="仿宋" w:cs="仿宋"/>
                <w:color w:val="auto"/>
                <w:sz w:val="24"/>
                <w:szCs w:val="24"/>
                <w:lang w:val="en-US" w:eastAsia="zh-CN"/>
              </w:rPr>
            </w:pPr>
          </w:p>
        </w:tc>
        <w:tc>
          <w:tcPr>
            <w:tcW w:w="4365" w:type="dxa"/>
            <w:noWrap w:val="0"/>
            <w:vAlign w:val="center"/>
          </w:tcPr>
          <w:p w14:paraId="5994FCF2">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金鹏街</w:t>
            </w:r>
          </w:p>
        </w:tc>
        <w:tc>
          <w:tcPr>
            <w:tcW w:w="2221" w:type="dxa"/>
            <w:vMerge w:val="continue"/>
            <w:noWrap w:val="0"/>
            <w:vAlign w:val="center"/>
          </w:tcPr>
          <w:p w14:paraId="51A3B83F">
            <w:pPr>
              <w:spacing w:line="360" w:lineRule="auto"/>
              <w:jc w:val="center"/>
              <w:rPr>
                <w:rFonts w:hint="eastAsia" w:ascii="仿宋" w:hAnsi="仿宋" w:eastAsia="仿宋" w:cs="仿宋"/>
                <w:color w:val="auto"/>
                <w:sz w:val="24"/>
                <w:szCs w:val="24"/>
                <w:lang w:val="en-US" w:eastAsia="zh-CN"/>
              </w:rPr>
            </w:pPr>
          </w:p>
        </w:tc>
      </w:tr>
      <w:tr w14:paraId="4636C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6" w:type="dxa"/>
            <w:vMerge w:val="continue"/>
            <w:noWrap w:val="0"/>
            <w:vAlign w:val="center"/>
          </w:tcPr>
          <w:p w14:paraId="61F6AF53">
            <w:pPr>
              <w:spacing w:line="360" w:lineRule="auto"/>
              <w:jc w:val="center"/>
              <w:rPr>
                <w:rFonts w:hint="eastAsia" w:ascii="仿宋" w:hAnsi="仿宋" w:eastAsia="仿宋" w:cs="仿宋"/>
                <w:color w:val="auto"/>
                <w:sz w:val="24"/>
                <w:szCs w:val="24"/>
                <w:lang w:val="en-US" w:eastAsia="zh-CN"/>
              </w:rPr>
            </w:pPr>
          </w:p>
        </w:tc>
        <w:tc>
          <w:tcPr>
            <w:tcW w:w="4365" w:type="dxa"/>
            <w:noWrap w:val="0"/>
            <w:vAlign w:val="center"/>
          </w:tcPr>
          <w:p w14:paraId="3BC2864B">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芳邻路社区</w:t>
            </w:r>
          </w:p>
        </w:tc>
        <w:tc>
          <w:tcPr>
            <w:tcW w:w="2221" w:type="dxa"/>
            <w:vMerge w:val="continue"/>
            <w:noWrap w:val="0"/>
            <w:vAlign w:val="center"/>
          </w:tcPr>
          <w:p w14:paraId="24F9E081">
            <w:pPr>
              <w:spacing w:line="360" w:lineRule="auto"/>
              <w:jc w:val="center"/>
              <w:rPr>
                <w:rFonts w:hint="eastAsia" w:ascii="仿宋" w:hAnsi="仿宋" w:eastAsia="仿宋" w:cs="仿宋"/>
                <w:color w:val="auto"/>
                <w:sz w:val="24"/>
                <w:szCs w:val="24"/>
                <w:lang w:val="en-US" w:eastAsia="zh-CN"/>
              </w:rPr>
            </w:pPr>
          </w:p>
        </w:tc>
      </w:tr>
      <w:tr w14:paraId="48391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6" w:type="dxa"/>
            <w:vMerge w:val="continue"/>
            <w:noWrap w:val="0"/>
            <w:vAlign w:val="center"/>
          </w:tcPr>
          <w:p w14:paraId="5AAF2042">
            <w:pPr>
              <w:spacing w:line="360" w:lineRule="auto"/>
              <w:jc w:val="center"/>
              <w:rPr>
                <w:rFonts w:hint="eastAsia" w:ascii="仿宋" w:hAnsi="仿宋" w:eastAsia="仿宋" w:cs="仿宋"/>
                <w:color w:val="auto"/>
                <w:sz w:val="24"/>
                <w:szCs w:val="24"/>
                <w:lang w:val="en-US" w:eastAsia="zh-CN"/>
              </w:rPr>
            </w:pPr>
          </w:p>
        </w:tc>
        <w:tc>
          <w:tcPr>
            <w:tcW w:w="4365" w:type="dxa"/>
            <w:noWrap w:val="0"/>
            <w:vAlign w:val="center"/>
          </w:tcPr>
          <w:p w14:paraId="3D295BB7">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川藏铁路青羊段</w:t>
            </w:r>
          </w:p>
        </w:tc>
        <w:tc>
          <w:tcPr>
            <w:tcW w:w="2221" w:type="dxa"/>
            <w:vMerge w:val="continue"/>
            <w:noWrap w:val="0"/>
            <w:vAlign w:val="center"/>
          </w:tcPr>
          <w:p w14:paraId="2E278B71">
            <w:pPr>
              <w:spacing w:line="360" w:lineRule="auto"/>
              <w:jc w:val="center"/>
              <w:rPr>
                <w:rFonts w:hint="eastAsia" w:ascii="仿宋" w:hAnsi="仿宋" w:eastAsia="仿宋" w:cs="仿宋"/>
                <w:color w:val="auto"/>
                <w:sz w:val="24"/>
                <w:szCs w:val="24"/>
                <w:lang w:val="en-US" w:eastAsia="zh-CN"/>
              </w:rPr>
            </w:pPr>
          </w:p>
        </w:tc>
      </w:tr>
      <w:tr w14:paraId="2289F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6" w:type="dxa"/>
            <w:vMerge w:val="continue"/>
            <w:noWrap w:val="0"/>
            <w:vAlign w:val="center"/>
          </w:tcPr>
          <w:p w14:paraId="0341D7F0">
            <w:pPr>
              <w:spacing w:line="360" w:lineRule="auto"/>
              <w:jc w:val="center"/>
              <w:rPr>
                <w:rFonts w:hint="eastAsia" w:ascii="仿宋" w:hAnsi="仿宋" w:eastAsia="仿宋" w:cs="仿宋"/>
                <w:color w:val="auto"/>
                <w:sz w:val="24"/>
                <w:szCs w:val="24"/>
                <w:lang w:val="en-US" w:eastAsia="zh-CN"/>
              </w:rPr>
            </w:pPr>
          </w:p>
        </w:tc>
        <w:tc>
          <w:tcPr>
            <w:tcW w:w="4365" w:type="dxa"/>
            <w:noWrap w:val="0"/>
            <w:vAlign w:val="center"/>
          </w:tcPr>
          <w:p w14:paraId="37F239AF">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草堂路社区（仅负责电费、网费和基础保障维修费）</w:t>
            </w:r>
          </w:p>
        </w:tc>
        <w:tc>
          <w:tcPr>
            <w:tcW w:w="2221" w:type="dxa"/>
            <w:vMerge w:val="restart"/>
            <w:noWrap w:val="0"/>
            <w:vAlign w:val="center"/>
          </w:tcPr>
          <w:p w14:paraId="5B4D7B7E">
            <w:pPr>
              <w:spacing w:line="36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 元/套/年</w:t>
            </w:r>
          </w:p>
        </w:tc>
      </w:tr>
      <w:tr w14:paraId="4FE77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6" w:type="dxa"/>
            <w:vMerge w:val="continue"/>
            <w:noWrap w:val="0"/>
            <w:vAlign w:val="center"/>
          </w:tcPr>
          <w:p w14:paraId="660CC03D">
            <w:pPr>
              <w:spacing w:line="360" w:lineRule="auto"/>
              <w:jc w:val="center"/>
              <w:rPr>
                <w:rFonts w:hint="eastAsia" w:ascii="仿宋" w:hAnsi="仿宋" w:eastAsia="仿宋" w:cs="仿宋"/>
                <w:color w:val="auto"/>
                <w:sz w:val="24"/>
                <w:szCs w:val="24"/>
                <w:lang w:val="en-US" w:eastAsia="zh-CN"/>
              </w:rPr>
            </w:pPr>
          </w:p>
        </w:tc>
        <w:tc>
          <w:tcPr>
            <w:tcW w:w="4365" w:type="dxa"/>
            <w:noWrap w:val="0"/>
            <w:vAlign w:val="center"/>
          </w:tcPr>
          <w:p w14:paraId="6572342B">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浣花社区（仅负责电费、网费和基础保障维修费）</w:t>
            </w:r>
          </w:p>
        </w:tc>
        <w:tc>
          <w:tcPr>
            <w:tcW w:w="2221" w:type="dxa"/>
            <w:vMerge w:val="continue"/>
            <w:noWrap w:val="0"/>
            <w:vAlign w:val="center"/>
          </w:tcPr>
          <w:p w14:paraId="50A48F4C">
            <w:pPr>
              <w:spacing w:line="360" w:lineRule="auto"/>
              <w:jc w:val="center"/>
              <w:rPr>
                <w:rFonts w:hint="eastAsia" w:ascii="仿宋" w:hAnsi="仿宋" w:eastAsia="仿宋" w:cs="仿宋"/>
                <w:color w:val="auto"/>
                <w:sz w:val="24"/>
                <w:szCs w:val="24"/>
                <w:lang w:val="en-US" w:eastAsia="zh-CN"/>
              </w:rPr>
            </w:pPr>
          </w:p>
        </w:tc>
      </w:tr>
      <w:tr w14:paraId="48D5B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6" w:type="dxa"/>
            <w:vMerge w:val="restart"/>
            <w:noWrap w:val="0"/>
            <w:vAlign w:val="center"/>
          </w:tcPr>
          <w:p w14:paraId="1E83D6F1">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噪声自动监测显示设施9套</w:t>
            </w:r>
          </w:p>
        </w:tc>
        <w:tc>
          <w:tcPr>
            <w:tcW w:w="4365" w:type="dxa"/>
            <w:noWrap w:val="0"/>
            <w:vAlign w:val="center"/>
          </w:tcPr>
          <w:p w14:paraId="7282E975">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Coco蜜城</w:t>
            </w:r>
          </w:p>
        </w:tc>
        <w:tc>
          <w:tcPr>
            <w:tcW w:w="2221" w:type="dxa"/>
            <w:vMerge w:val="restart"/>
            <w:noWrap w:val="0"/>
            <w:vAlign w:val="center"/>
          </w:tcPr>
          <w:p w14:paraId="616F79F0">
            <w:pPr>
              <w:spacing w:line="36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 元/套/年</w:t>
            </w:r>
          </w:p>
        </w:tc>
      </w:tr>
      <w:tr w14:paraId="24D29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6" w:type="dxa"/>
            <w:vMerge w:val="continue"/>
            <w:noWrap w:val="0"/>
            <w:vAlign w:val="center"/>
          </w:tcPr>
          <w:p w14:paraId="228857F2">
            <w:pPr>
              <w:spacing w:line="360" w:lineRule="auto"/>
              <w:jc w:val="center"/>
              <w:rPr>
                <w:rFonts w:hint="eastAsia" w:ascii="仿宋" w:hAnsi="仿宋" w:eastAsia="仿宋" w:cs="仿宋"/>
                <w:color w:val="auto"/>
                <w:sz w:val="24"/>
                <w:szCs w:val="24"/>
                <w:lang w:val="en-US" w:eastAsia="zh-CN"/>
              </w:rPr>
            </w:pPr>
          </w:p>
        </w:tc>
        <w:tc>
          <w:tcPr>
            <w:tcW w:w="4365" w:type="dxa"/>
            <w:noWrap w:val="0"/>
            <w:vAlign w:val="center"/>
          </w:tcPr>
          <w:p w14:paraId="6DBB7226">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天鹅湖</w:t>
            </w:r>
          </w:p>
        </w:tc>
        <w:tc>
          <w:tcPr>
            <w:tcW w:w="2221" w:type="dxa"/>
            <w:vMerge w:val="continue"/>
            <w:noWrap w:val="0"/>
            <w:vAlign w:val="center"/>
          </w:tcPr>
          <w:p w14:paraId="7A9E4871">
            <w:pPr>
              <w:spacing w:line="360" w:lineRule="auto"/>
              <w:jc w:val="center"/>
              <w:rPr>
                <w:rFonts w:hint="eastAsia" w:ascii="仿宋" w:hAnsi="仿宋" w:eastAsia="仿宋" w:cs="仿宋"/>
                <w:color w:val="auto"/>
                <w:sz w:val="24"/>
                <w:szCs w:val="24"/>
                <w:lang w:val="en-US" w:eastAsia="zh-CN"/>
              </w:rPr>
            </w:pPr>
          </w:p>
        </w:tc>
      </w:tr>
      <w:tr w14:paraId="75730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6" w:type="dxa"/>
            <w:vMerge w:val="continue"/>
            <w:noWrap w:val="0"/>
            <w:vAlign w:val="center"/>
          </w:tcPr>
          <w:p w14:paraId="78B227AB">
            <w:pPr>
              <w:spacing w:line="360" w:lineRule="auto"/>
              <w:jc w:val="center"/>
              <w:rPr>
                <w:rFonts w:hint="eastAsia" w:ascii="仿宋" w:hAnsi="仿宋" w:eastAsia="仿宋" w:cs="仿宋"/>
                <w:color w:val="auto"/>
                <w:sz w:val="24"/>
                <w:szCs w:val="24"/>
                <w:lang w:val="en-US" w:eastAsia="zh-CN"/>
              </w:rPr>
            </w:pPr>
          </w:p>
        </w:tc>
        <w:tc>
          <w:tcPr>
            <w:tcW w:w="4365" w:type="dxa"/>
            <w:noWrap w:val="0"/>
            <w:vAlign w:val="center"/>
          </w:tcPr>
          <w:p w14:paraId="560B0243">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苏坡中路</w:t>
            </w:r>
          </w:p>
        </w:tc>
        <w:tc>
          <w:tcPr>
            <w:tcW w:w="2221" w:type="dxa"/>
            <w:vMerge w:val="continue"/>
            <w:noWrap w:val="0"/>
            <w:vAlign w:val="center"/>
          </w:tcPr>
          <w:p w14:paraId="18B86890">
            <w:pPr>
              <w:spacing w:line="360" w:lineRule="auto"/>
              <w:jc w:val="center"/>
              <w:rPr>
                <w:rFonts w:hint="eastAsia" w:ascii="仿宋" w:hAnsi="仿宋" w:eastAsia="仿宋" w:cs="仿宋"/>
                <w:color w:val="auto"/>
                <w:sz w:val="24"/>
                <w:szCs w:val="24"/>
                <w:lang w:val="en-US" w:eastAsia="zh-CN"/>
              </w:rPr>
            </w:pPr>
          </w:p>
        </w:tc>
      </w:tr>
      <w:tr w14:paraId="6ADCB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6" w:type="dxa"/>
            <w:vMerge w:val="continue"/>
            <w:noWrap w:val="0"/>
            <w:vAlign w:val="center"/>
          </w:tcPr>
          <w:p w14:paraId="292C876F">
            <w:pPr>
              <w:spacing w:line="360" w:lineRule="auto"/>
              <w:jc w:val="center"/>
              <w:rPr>
                <w:rFonts w:hint="eastAsia" w:ascii="仿宋" w:hAnsi="仿宋" w:eastAsia="仿宋" w:cs="仿宋"/>
                <w:color w:val="auto"/>
                <w:sz w:val="24"/>
                <w:szCs w:val="24"/>
                <w:lang w:val="en-US" w:eastAsia="zh-CN"/>
              </w:rPr>
            </w:pPr>
          </w:p>
        </w:tc>
        <w:tc>
          <w:tcPr>
            <w:tcW w:w="4365" w:type="dxa"/>
            <w:noWrap w:val="0"/>
            <w:vAlign w:val="center"/>
          </w:tcPr>
          <w:p w14:paraId="5A81E043">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金沙滨河公园1期</w:t>
            </w:r>
          </w:p>
        </w:tc>
        <w:tc>
          <w:tcPr>
            <w:tcW w:w="2221" w:type="dxa"/>
            <w:vMerge w:val="continue"/>
            <w:noWrap w:val="0"/>
            <w:vAlign w:val="center"/>
          </w:tcPr>
          <w:p w14:paraId="30367B8A">
            <w:pPr>
              <w:spacing w:line="360" w:lineRule="auto"/>
              <w:jc w:val="center"/>
              <w:rPr>
                <w:rFonts w:hint="eastAsia" w:ascii="仿宋" w:hAnsi="仿宋" w:eastAsia="仿宋" w:cs="仿宋"/>
                <w:color w:val="auto"/>
                <w:sz w:val="24"/>
                <w:szCs w:val="24"/>
                <w:lang w:val="en-US" w:eastAsia="zh-CN"/>
              </w:rPr>
            </w:pPr>
          </w:p>
        </w:tc>
      </w:tr>
      <w:tr w14:paraId="1257E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6" w:type="dxa"/>
            <w:vMerge w:val="continue"/>
            <w:noWrap w:val="0"/>
            <w:vAlign w:val="center"/>
          </w:tcPr>
          <w:p w14:paraId="1C77AE1B">
            <w:pPr>
              <w:spacing w:line="360" w:lineRule="auto"/>
              <w:jc w:val="center"/>
              <w:rPr>
                <w:rFonts w:hint="eastAsia" w:ascii="仿宋" w:hAnsi="仿宋" w:eastAsia="仿宋" w:cs="仿宋"/>
                <w:color w:val="auto"/>
                <w:sz w:val="24"/>
                <w:szCs w:val="24"/>
                <w:lang w:val="en-US" w:eastAsia="zh-CN"/>
              </w:rPr>
            </w:pPr>
          </w:p>
        </w:tc>
        <w:tc>
          <w:tcPr>
            <w:tcW w:w="4365" w:type="dxa"/>
            <w:noWrap w:val="0"/>
            <w:vAlign w:val="center"/>
          </w:tcPr>
          <w:p w14:paraId="5EA275D6">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金沙滨河公园2期</w:t>
            </w:r>
          </w:p>
        </w:tc>
        <w:tc>
          <w:tcPr>
            <w:tcW w:w="2221" w:type="dxa"/>
            <w:vMerge w:val="continue"/>
            <w:noWrap w:val="0"/>
            <w:vAlign w:val="center"/>
          </w:tcPr>
          <w:p w14:paraId="175B86C9">
            <w:pPr>
              <w:spacing w:line="360" w:lineRule="auto"/>
              <w:jc w:val="center"/>
              <w:rPr>
                <w:rFonts w:hint="eastAsia" w:ascii="仿宋" w:hAnsi="仿宋" w:eastAsia="仿宋" w:cs="仿宋"/>
                <w:color w:val="auto"/>
                <w:sz w:val="24"/>
                <w:szCs w:val="24"/>
                <w:lang w:val="en-US" w:eastAsia="zh-CN"/>
              </w:rPr>
            </w:pPr>
          </w:p>
        </w:tc>
      </w:tr>
      <w:tr w14:paraId="31BC0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6" w:type="dxa"/>
            <w:vMerge w:val="continue"/>
            <w:noWrap w:val="0"/>
            <w:vAlign w:val="center"/>
          </w:tcPr>
          <w:p w14:paraId="28258CD7">
            <w:pPr>
              <w:spacing w:line="360" w:lineRule="auto"/>
              <w:jc w:val="center"/>
              <w:rPr>
                <w:rFonts w:hint="eastAsia" w:ascii="仿宋" w:hAnsi="仿宋" w:eastAsia="仿宋" w:cs="仿宋"/>
                <w:color w:val="auto"/>
                <w:sz w:val="24"/>
                <w:szCs w:val="24"/>
                <w:lang w:val="en-US" w:eastAsia="zh-CN"/>
              </w:rPr>
            </w:pPr>
          </w:p>
        </w:tc>
        <w:tc>
          <w:tcPr>
            <w:tcW w:w="4365" w:type="dxa"/>
            <w:noWrap w:val="0"/>
            <w:vAlign w:val="center"/>
          </w:tcPr>
          <w:p w14:paraId="313527C8">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清源三路</w:t>
            </w:r>
          </w:p>
        </w:tc>
        <w:tc>
          <w:tcPr>
            <w:tcW w:w="2221" w:type="dxa"/>
            <w:vMerge w:val="continue"/>
            <w:noWrap w:val="0"/>
            <w:vAlign w:val="center"/>
          </w:tcPr>
          <w:p w14:paraId="6F1DB050">
            <w:pPr>
              <w:spacing w:line="360" w:lineRule="auto"/>
              <w:jc w:val="center"/>
              <w:rPr>
                <w:rFonts w:hint="eastAsia" w:ascii="仿宋" w:hAnsi="仿宋" w:eastAsia="仿宋" w:cs="仿宋"/>
                <w:color w:val="auto"/>
                <w:sz w:val="24"/>
                <w:szCs w:val="24"/>
                <w:lang w:val="en-US" w:eastAsia="zh-CN"/>
              </w:rPr>
            </w:pPr>
          </w:p>
        </w:tc>
      </w:tr>
      <w:tr w14:paraId="7BCC9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6" w:type="dxa"/>
            <w:vMerge w:val="continue"/>
            <w:noWrap w:val="0"/>
            <w:vAlign w:val="center"/>
          </w:tcPr>
          <w:p w14:paraId="74193473">
            <w:pPr>
              <w:spacing w:line="360" w:lineRule="auto"/>
              <w:jc w:val="center"/>
              <w:rPr>
                <w:rFonts w:hint="eastAsia" w:ascii="仿宋" w:hAnsi="仿宋" w:eastAsia="仿宋" w:cs="仿宋"/>
                <w:color w:val="auto"/>
                <w:sz w:val="24"/>
                <w:szCs w:val="24"/>
                <w:lang w:val="en-US" w:eastAsia="zh-CN"/>
              </w:rPr>
            </w:pPr>
          </w:p>
        </w:tc>
        <w:tc>
          <w:tcPr>
            <w:tcW w:w="4365" w:type="dxa"/>
            <w:noWrap w:val="0"/>
            <w:vAlign w:val="center"/>
          </w:tcPr>
          <w:p w14:paraId="2243F2FD">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同辉园公园</w:t>
            </w:r>
          </w:p>
        </w:tc>
        <w:tc>
          <w:tcPr>
            <w:tcW w:w="2221" w:type="dxa"/>
            <w:vMerge w:val="continue"/>
            <w:noWrap w:val="0"/>
            <w:vAlign w:val="center"/>
          </w:tcPr>
          <w:p w14:paraId="224B08CE">
            <w:pPr>
              <w:spacing w:line="360" w:lineRule="auto"/>
              <w:jc w:val="center"/>
              <w:rPr>
                <w:rFonts w:hint="eastAsia" w:ascii="仿宋" w:hAnsi="仿宋" w:eastAsia="仿宋" w:cs="仿宋"/>
                <w:color w:val="auto"/>
                <w:sz w:val="24"/>
                <w:szCs w:val="24"/>
                <w:lang w:val="en-US" w:eastAsia="zh-CN"/>
              </w:rPr>
            </w:pPr>
          </w:p>
        </w:tc>
      </w:tr>
      <w:tr w14:paraId="7DBF5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6" w:type="dxa"/>
            <w:vMerge w:val="continue"/>
            <w:noWrap w:val="0"/>
            <w:vAlign w:val="center"/>
          </w:tcPr>
          <w:p w14:paraId="453C2FB1">
            <w:pPr>
              <w:spacing w:line="360" w:lineRule="auto"/>
              <w:jc w:val="center"/>
              <w:rPr>
                <w:rFonts w:hint="eastAsia" w:ascii="仿宋" w:hAnsi="仿宋" w:eastAsia="仿宋" w:cs="仿宋"/>
                <w:color w:val="auto"/>
                <w:sz w:val="24"/>
                <w:szCs w:val="24"/>
                <w:lang w:val="en-US" w:eastAsia="zh-CN"/>
              </w:rPr>
            </w:pPr>
          </w:p>
        </w:tc>
        <w:tc>
          <w:tcPr>
            <w:tcW w:w="4365" w:type="dxa"/>
            <w:noWrap w:val="0"/>
            <w:vAlign w:val="center"/>
          </w:tcPr>
          <w:p w14:paraId="3858EC51">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清水河清波公园</w:t>
            </w:r>
          </w:p>
        </w:tc>
        <w:tc>
          <w:tcPr>
            <w:tcW w:w="2221" w:type="dxa"/>
            <w:vMerge w:val="continue"/>
            <w:noWrap w:val="0"/>
            <w:vAlign w:val="center"/>
          </w:tcPr>
          <w:p w14:paraId="6232655A">
            <w:pPr>
              <w:spacing w:line="360" w:lineRule="auto"/>
              <w:jc w:val="center"/>
              <w:rPr>
                <w:rFonts w:hint="eastAsia" w:ascii="仿宋" w:hAnsi="仿宋" w:eastAsia="仿宋" w:cs="仿宋"/>
                <w:color w:val="auto"/>
                <w:sz w:val="24"/>
                <w:szCs w:val="24"/>
                <w:lang w:val="en-US" w:eastAsia="zh-CN"/>
              </w:rPr>
            </w:pPr>
          </w:p>
        </w:tc>
      </w:tr>
      <w:tr w14:paraId="2F5D6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6" w:type="dxa"/>
            <w:vMerge w:val="continue"/>
            <w:noWrap w:val="0"/>
            <w:vAlign w:val="center"/>
          </w:tcPr>
          <w:p w14:paraId="2F5BC4D8">
            <w:pPr>
              <w:spacing w:line="360" w:lineRule="auto"/>
              <w:jc w:val="center"/>
              <w:rPr>
                <w:rFonts w:hint="eastAsia" w:ascii="仿宋" w:hAnsi="仿宋" w:eastAsia="仿宋" w:cs="仿宋"/>
                <w:color w:val="auto"/>
                <w:sz w:val="24"/>
                <w:szCs w:val="24"/>
                <w:lang w:val="en-US" w:eastAsia="zh-CN"/>
              </w:rPr>
            </w:pPr>
          </w:p>
        </w:tc>
        <w:tc>
          <w:tcPr>
            <w:tcW w:w="4365" w:type="dxa"/>
            <w:noWrap w:val="0"/>
            <w:vAlign w:val="center"/>
          </w:tcPr>
          <w:p w14:paraId="09D682CD">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石人公园</w:t>
            </w:r>
          </w:p>
        </w:tc>
        <w:tc>
          <w:tcPr>
            <w:tcW w:w="2221" w:type="dxa"/>
            <w:vMerge w:val="continue"/>
            <w:noWrap w:val="0"/>
            <w:vAlign w:val="center"/>
          </w:tcPr>
          <w:p w14:paraId="51A92B62">
            <w:pPr>
              <w:spacing w:line="360" w:lineRule="auto"/>
              <w:jc w:val="center"/>
              <w:rPr>
                <w:rFonts w:hint="eastAsia" w:ascii="仿宋" w:hAnsi="仿宋" w:eastAsia="仿宋" w:cs="仿宋"/>
                <w:color w:val="auto"/>
                <w:sz w:val="24"/>
                <w:szCs w:val="24"/>
                <w:lang w:val="en-US" w:eastAsia="zh-CN"/>
              </w:rPr>
            </w:pPr>
          </w:p>
        </w:tc>
      </w:tr>
      <w:tr w14:paraId="69CCE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6" w:type="dxa"/>
            <w:noWrap w:val="0"/>
            <w:vAlign w:val="center"/>
          </w:tcPr>
          <w:p w14:paraId="037AA558">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定向传声设备1套</w:t>
            </w:r>
          </w:p>
        </w:tc>
        <w:tc>
          <w:tcPr>
            <w:tcW w:w="4365" w:type="dxa"/>
            <w:noWrap w:val="0"/>
            <w:vAlign w:val="center"/>
          </w:tcPr>
          <w:p w14:paraId="138140F9">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同瑞园</w:t>
            </w:r>
          </w:p>
        </w:tc>
        <w:tc>
          <w:tcPr>
            <w:tcW w:w="2221" w:type="dxa"/>
            <w:noWrap w:val="0"/>
            <w:vAlign w:val="center"/>
          </w:tcPr>
          <w:p w14:paraId="1C45FEC0">
            <w:pPr>
              <w:spacing w:line="36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 元/套/年</w:t>
            </w:r>
          </w:p>
        </w:tc>
      </w:tr>
    </w:tbl>
    <w:p w14:paraId="67459C66">
      <w:pPr>
        <w:pStyle w:val="2"/>
        <w:rPr>
          <w:rFonts w:hint="default"/>
          <w:color w:val="auto"/>
          <w:lang w:val="en-US" w:eastAsia="zh-CN"/>
        </w:rPr>
      </w:pPr>
    </w:p>
    <w:p w14:paraId="5D2DDACD">
      <w:pPr>
        <w:ind w:firstLine="600" w:firstLineChars="200"/>
        <w:rPr>
          <w:rFonts w:hint="eastAsia" w:ascii="方正仿宋_GBK" w:hAnsi="方正仿宋_GBK" w:eastAsia="方正仿宋_GBK" w:cs="方正仿宋_GBK"/>
          <w:color w:val="auto"/>
          <w:sz w:val="30"/>
          <w:szCs w:val="30"/>
          <w:lang w:val="en-US" w:eastAsia="zh-CN"/>
        </w:rPr>
      </w:pPr>
      <w:r>
        <w:rPr>
          <w:rFonts w:hint="eastAsia" w:ascii="方正仿宋_GBK" w:hAnsi="方正仿宋_GBK" w:eastAsia="方正仿宋_GBK" w:cs="方正仿宋_GBK"/>
          <w:color w:val="auto"/>
          <w:sz w:val="30"/>
          <w:szCs w:val="30"/>
          <w:lang w:val="en-US" w:eastAsia="zh-CN"/>
        </w:rPr>
        <w:t>如有任何问题或者需要进一步的帮助，请随时与我们联系。</w:t>
      </w:r>
    </w:p>
    <w:p w14:paraId="72AB51DD">
      <w:pPr>
        <w:spacing w:beforeAutospacing="0" w:line="480" w:lineRule="auto"/>
        <w:jc w:val="left"/>
        <w:rPr>
          <w:rFonts w:hint="eastAsia" w:ascii="方正仿宋_GBK" w:hAnsi="方正仿宋_GBK" w:eastAsia="方正仿宋_GBK" w:cs="方正仿宋_GBK"/>
          <w:color w:val="auto"/>
          <w:sz w:val="30"/>
          <w:szCs w:val="30"/>
          <w:lang w:val="en-US" w:eastAsia="zh-CN"/>
        </w:rPr>
      </w:pPr>
    </w:p>
    <w:p w14:paraId="49865784">
      <w:pPr>
        <w:spacing w:beforeAutospacing="0" w:line="480" w:lineRule="auto"/>
        <w:jc w:val="left"/>
        <w:rPr>
          <w:rFonts w:hint="eastAsia" w:ascii="方正仿宋_GBK" w:hAnsi="方正仿宋_GBK" w:eastAsia="方正仿宋_GBK" w:cs="方正仿宋_GBK"/>
          <w:color w:val="auto"/>
          <w:sz w:val="30"/>
          <w:szCs w:val="30"/>
          <w:lang w:val="en-US" w:eastAsia="zh-CN"/>
        </w:rPr>
      </w:pPr>
    </w:p>
    <w:p w14:paraId="5023027E">
      <w:pPr>
        <w:spacing w:beforeAutospacing="0" w:line="480" w:lineRule="auto"/>
        <w:jc w:val="left"/>
        <w:rPr>
          <w:rFonts w:hint="eastAsia" w:ascii="方正仿宋_GBK" w:hAnsi="方正仿宋_GBK" w:eastAsia="方正仿宋_GBK" w:cs="方正仿宋_GBK"/>
          <w:color w:val="auto"/>
          <w:sz w:val="30"/>
          <w:szCs w:val="30"/>
          <w:lang w:val="en-US" w:eastAsia="zh-CN"/>
        </w:rPr>
      </w:pPr>
      <w:r>
        <w:rPr>
          <w:rFonts w:hint="eastAsia" w:ascii="方正仿宋_GBK" w:hAnsi="方正仿宋_GBK" w:eastAsia="方正仿宋_GBK" w:cs="方正仿宋_GBK"/>
          <w:color w:val="auto"/>
          <w:sz w:val="30"/>
          <w:szCs w:val="30"/>
          <w:lang w:val="en-US" w:eastAsia="zh-CN"/>
        </w:rPr>
        <w:t>单位名称</w:t>
      </w:r>
      <w:r>
        <w:rPr>
          <w:rFonts w:hint="eastAsia" w:ascii="方正仿宋_GBK" w:hAnsi="方正仿宋_GBK" w:eastAsia="方正仿宋_GBK" w:cs="方正仿宋_GBK"/>
          <w:color w:val="auto"/>
          <w:sz w:val="30"/>
          <w:szCs w:val="30"/>
        </w:rPr>
        <w:t>（盖章）</w:t>
      </w:r>
      <w:r>
        <w:rPr>
          <w:rFonts w:hint="eastAsia" w:ascii="方正仿宋_GBK" w:hAnsi="方正仿宋_GBK" w:eastAsia="方正仿宋_GBK" w:cs="方正仿宋_GBK"/>
          <w:color w:val="auto"/>
          <w:sz w:val="30"/>
          <w:szCs w:val="30"/>
          <w:lang w:val="en-US" w:eastAsia="zh-CN"/>
        </w:rPr>
        <w:t>：</w:t>
      </w:r>
    </w:p>
    <w:p w14:paraId="798FDD8B">
      <w:pPr>
        <w:spacing w:beforeAutospacing="0" w:line="480" w:lineRule="auto"/>
        <w:jc w:val="left"/>
        <w:rPr>
          <w:rFonts w:hint="eastAsia" w:ascii="方正仿宋_GBK" w:hAnsi="方正仿宋_GBK" w:eastAsia="方正仿宋_GBK" w:cs="方正仿宋_GBK"/>
          <w:color w:val="auto"/>
          <w:sz w:val="30"/>
          <w:szCs w:val="30"/>
          <w:lang w:val="en-US" w:eastAsia="zh-CN"/>
        </w:rPr>
      </w:pPr>
      <w:r>
        <w:rPr>
          <w:rFonts w:hint="eastAsia" w:ascii="方正仿宋_GBK" w:hAnsi="方正仿宋_GBK" w:eastAsia="方正仿宋_GBK" w:cs="方正仿宋_GBK"/>
          <w:color w:val="auto"/>
          <w:sz w:val="30"/>
          <w:szCs w:val="30"/>
          <w:lang w:val="en-US" w:eastAsia="zh-CN"/>
        </w:rPr>
        <w:t>联系地址：</w:t>
      </w:r>
    </w:p>
    <w:p w14:paraId="672EB447">
      <w:pPr>
        <w:spacing w:beforeAutospacing="0" w:line="480" w:lineRule="auto"/>
        <w:jc w:val="left"/>
        <w:rPr>
          <w:rFonts w:hint="eastAsia" w:ascii="方正仿宋_GBK" w:hAnsi="方正仿宋_GBK" w:eastAsia="方正仿宋_GBK" w:cs="方正仿宋_GBK"/>
          <w:color w:val="auto"/>
          <w:sz w:val="30"/>
          <w:szCs w:val="30"/>
          <w:lang w:val="en-US" w:eastAsia="zh-CN"/>
        </w:rPr>
      </w:pPr>
      <w:r>
        <w:rPr>
          <w:rFonts w:hint="eastAsia" w:ascii="方正仿宋_GBK" w:hAnsi="方正仿宋_GBK" w:eastAsia="方正仿宋_GBK" w:cs="方正仿宋_GBK"/>
          <w:color w:val="auto"/>
          <w:sz w:val="30"/>
          <w:szCs w:val="30"/>
          <w:lang w:val="en-US" w:eastAsia="zh-CN"/>
        </w:rPr>
        <w:t>联系人：</w:t>
      </w:r>
    </w:p>
    <w:p w14:paraId="68242467">
      <w:pPr>
        <w:spacing w:beforeAutospacing="0" w:line="480" w:lineRule="auto"/>
        <w:jc w:val="left"/>
        <w:rPr>
          <w:rFonts w:hint="eastAsia" w:ascii="方正仿宋_GBK" w:hAnsi="方正仿宋_GBK" w:eastAsia="方正仿宋_GBK" w:cs="方正仿宋_GBK"/>
          <w:color w:val="auto"/>
          <w:sz w:val="30"/>
          <w:szCs w:val="30"/>
          <w:lang w:val="en-US" w:eastAsia="zh-CN"/>
        </w:rPr>
      </w:pPr>
      <w:r>
        <w:rPr>
          <w:rFonts w:hint="eastAsia" w:ascii="方正仿宋_GBK" w:hAnsi="方正仿宋_GBK" w:eastAsia="方正仿宋_GBK" w:cs="方正仿宋_GBK"/>
          <w:color w:val="auto"/>
          <w:sz w:val="30"/>
          <w:szCs w:val="30"/>
          <w:lang w:val="en-US" w:eastAsia="zh-CN"/>
        </w:rPr>
        <w:t>联系电话：</w:t>
      </w:r>
    </w:p>
    <w:p w14:paraId="2569AFC0">
      <w:pPr>
        <w:spacing w:line="480" w:lineRule="auto"/>
        <w:jc w:val="left"/>
        <w:rPr>
          <w:rFonts w:hint="eastAsia" w:asciiTheme="minorEastAsia" w:hAnsiTheme="minorEastAsia" w:eastAsiaTheme="minorEastAsia" w:cstheme="minorEastAsia"/>
          <w:color w:val="auto"/>
          <w:sz w:val="30"/>
          <w:szCs w:val="30"/>
          <w:lang w:val="en-US" w:eastAsia="zh-CN"/>
        </w:rPr>
      </w:pPr>
    </w:p>
    <w:p w14:paraId="71B24F90">
      <w:pPr>
        <w:rPr>
          <w:color w:val="auto"/>
        </w:rPr>
      </w:pPr>
    </w:p>
    <w:p w14:paraId="69346EFE">
      <w:pPr>
        <w:rPr>
          <w:color w:val="auto"/>
        </w:rPr>
      </w:pPr>
    </w:p>
    <w:sectPr>
      <w:pgSz w:w="11906" w:h="16838"/>
      <w:pgMar w:top="1587" w:right="1417" w:bottom="1474"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F425E4"/>
    <w:multiLevelType w:val="multilevel"/>
    <w:tmpl w:val="43F425E4"/>
    <w:lvl w:ilvl="0" w:tentative="0">
      <w:start w:val="1"/>
      <w:numFmt w:val="chineseCountingThousand"/>
      <w:pStyle w:val="9"/>
      <w:lvlText w:val="%1."/>
      <w:lvlJc w:val="left"/>
      <w:pPr>
        <w:ind w:left="0" w:firstLine="0"/>
      </w:pPr>
      <w:rPr>
        <w:rFonts w:hint="eastAsia"/>
        <w:b/>
        <w:lang w:val="en-US"/>
      </w:rPr>
    </w:lvl>
    <w:lvl w:ilvl="1" w:tentative="0">
      <w:start w:val="1"/>
      <w:numFmt w:val="decimal"/>
      <w:isLgl/>
      <w:lvlText w:val="%1.%2"/>
      <w:lvlJc w:val="left"/>
      <w:pPr>
        <w:ind w:left="0" w:firstLine="0"/>
      </w:pPr>
      <w:rPr>
        <w:rFonts w:hint="default" w:ascii="Arial" w:hAnsi="Arial"/>
      </w:rPr>
    </w:lvl>
    <w:lvl w:ilvl="2" w:tentative="0">
      <w:start w:val="1"/>
      <w:numFmt w:val="decimal"/>
      <w:isLgl/>
      <w:lvlText w:val="%1.%2.%3"/>
      <w:lvlJc w:val="left"/>
      <w:pPr>
        <w:ind w:left="0" w:firstLine="0"/>
      </w:pPr>
      <w:rPr>
        <w:rFonts w:hint="eastAsia"/>
      </w:rPr>
    </w:lvl>
    <w:lvl w:ilvl="3" w:tentative="0">
      <w:start w:val="1"/>
      <w:numFmt w:val="decimal"/>
      <w:isLgl/>
      <w:lvlText w:val="%1.%2.%3.%4"/>
      <w:lvlJc w:val="left"/>
      <w:pPr>
        <w:ind w:left="0" w:firstLine="0"/>
      </w:pPr>
      <w:rPr>
        <w:rFonts w:hint="default" w:ascii="Arial" w:hAnsi="Arial"/>
        <w:b/>
      </w:rPr>
    </w:lvl>
    <w:lvl w:ilvl="4" w:tentative="0">
      <w:start w:val="1"/>
      <w:numFmt w:val="decimal"/>
      <w:lvlText w:val="%2.%3.1.%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U5MTE0ODNlNWI5MTIyOTIxMTM1ZmU4ZTdhYjUyNGQifQ=="/>
  </w:docVars>
  <w:rsids>
    <w:rsidRoot w:val="646A6724"/>
    <w:rsid w:val="061F4BAB"/>
    <w:rsid w:val="105C064D"/>
    <w:rsid w:val="17C260C9"/>
    <w:rsid w:val="18E100F8"/>
    <w:rsid w:val="2F6F40B1"/>
    <w:rsid w:val="474A4A14"/>
    <w:rsid w:val="4B767EEA"/>
    <w:rsid w:val="54D24069"/>
    <w:rsid w:val="589229D1"/>
    <w:rsid w:val="589A3328"/>
    <w:rsid w:val="59004FDA"/>
    <w:rsid w:val="5BFD74CD"/>
    <w:rsid w:val="5EC0115A"/>
    <w:rsid w:val="646A6724"/>
    <w:rsid w:val="64CE7BC4"/>
    <w:rsid w:val="6ADF456E"/>
    <w:rsid w:val="732D7130"/>
    <w:rsid w:val="746C7A2D"/>
    <w:rsid w:val="76DD3C27"/>
    <w:rsid w:val="77E86588"/>
    <w:rsid w:val="7B356B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6" w:lineRule="auto"/>
      <w:outlineLvl w:val="0"/>
    </w:pPr>
    <w:rPr>
      <w:b/>
      <w:bCs/>
      <w:kern w:val="44"/>
      <w:sz w:val="44"/>
      <w:szCs w:val="44"/>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Salutation"/>
    <w:basedOn w:val="1"/>
    <w:next w:val="1"/>
    <w:qFormat/>
    <w:uiPriority w:val="0"/>
    <w:rPr>
      <w:rFonts w:ascii="Calibri" w:hAnsi="Calibri" w:eastAsia="宋体"/>
      <w:szCs w:val="22"/>
    </w:rPr>
  </w:style>
  <w:style w:type="paragraph" w:styleId="4">
    <w:name w:val="Normal Indent"/>
    <w:basedOn w:val="1"/>
    <w:qFormat/>
    <w:uiPriority w:val="0"/>
    <w:pPr>
      <w:ind w:firstLine="420" w:firstLineChars="200"/>
    </w:pPr>
  </w:style>
  <w:style w:type="table" w:styleId="6">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Table Text"/>
    <w:semiHidden/>
    <w:qFormat/>
    <w:uiPriority w:val="0"/>
    <w:pPr>
      <w:widowControl w:val="0"/>
      <w:jc w:val="both"/>
    </w:pPr>
    <w:rPr>
      <w:rFonts w:ascii="宋体" w:hAnsi="宋体" w:eastAsia="宋体" w:cs="宋体"/>
      <w:kern w:val="2"/>
      <w:sz w:val="19"/>
      <w:szCs w:val="19"/>
      <w:lang w:val="en-US" w:eastAsia="en-US" w:bidi="ar-SA"/>
    </w:rPr>
  </w:style>
  <w:style w:type="paragraph" w:customStyle="1" w:styleId="9">
    <w:name w:val="Q1"/>
    <w:basedOn w:val="3"/>
    <w:next w:val="10"/>
    <w:qFormat/>
    <w:uiPriority w:val="0"/>
    <w:pPr>
      <w:numPr>
        <w:ilvl w:val="0"/>
        <w:numId w:val="1"/>
      </w:numPr>
      <w:spacing w:beforeLines="50" w:afterLines="50" w:line="240" w:lineRule="auto"/>
      <w:jc w:val="center"/>
    </w:pPr>
    <w:rPr>
      <w:rFonts w:ascii="Arial" w:hAnsi="Arial" w:eastAsia="黑体"/>
      <w:sz w:val="32"/>
    </w:rPr>
  </w:style>
  <w:style w:type="paragraph" w:customStyle="1" w:styleId="10">
    <w:name w:val="Q"/>
    <w:qFormat/>
    <w:uiPriority w:val="0"/>
    <w:pPr>
      <w:spacing w:beforeLines="50" w:afterLines="50" w:line="360" w:lineRule="auto"/>
      <w:ind w:firstLine="200" w:firstLineChars="200"/>
    </w:pPr>
    <w:rPr>
      <w:rFonts w:ascii="Arial" w:hAnsi="Arial" w:eastAsia="仿宋" w:cs="Times New Roman"/>
      <w:bCs/>
      <w:kern w:val="2"/>
      <w:sz w:val="32"/>
      <w:szCs w:val="28"/>
      <w:lang w:val="en-US" w:eastAsia="zh-CN" w:bidi="ar-SA"/>
    </w:rPr>
  </w:style>
  <w:style w:type="paragraph" w:customStyle="1" w:styleId="11">
    <w:name w:val="null3"/>
    <w:qFormat/>
    <w:uiPriority w:val="0"/>
    <w:rPr>
      <w:rFonts w:hint="eastAsia" w:ascii="Calibri" w:hAnsi="Calibri" w:eastAsia="宋体" w:cs="Times New Roman"/>
      <w:lang w:val="en-US" w:eastAsia="zh-Han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1612</Words>
  <Characters>1732</Characters>
  <Lines>0</Lines>
  <Paragraphs>0</Paragraphs>
  <TotalTime>1</TotalTime>
  <ScaleCrop>false</ScaleCrop>
  <LinksUpToDate>false</LinksUpToDate>
  <CharactersWithSpaces>1827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2025-09-22T01:54:00Z</dcterms:created>
  <dc:creator>yy</dc:creator>
  <cp:lastModifiedBy>田</cp:lastModifiedBy>
  <cp:lastPrinted>2026-10-10T02:07:00Z</cp:lastPrinted>
  <dcterms:modified xsi:type="dcterms:W3CDTF">2026-10-12T06:44:05Z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AA4DC3FFBA574522BBC800079682428D_13</vt:lpwstr>
  </property>
  <property fmtid="{D5CDD505-2E9C-101B-9397-08002B2CF9AE}" pid="4" name="KSOTemplateDocerSaveRecord">
    <vt:lpwstr>eyJoZGlkIjoiZDY5NjExMjYyZjViODViNDljNjU0YTVkNzNhZGNkMzciLCJ1c2VySWQiOiI0NDMzOTU5MzcifQ==</vt:lpwstr>
  </property>
</Properties>
</file>