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3C497">
      <w:pPr>
        <w:spacing w:line="560" w:lineRule="exact"/>
        <w:jc w:val="left"/>
        <w:rPr>
          <w:rFonts w:hint="default" w:ascii="宋体" w:hAnsi="宋体" w:eastAsia="方正黑体_GBK" w:cs="宋体"/>
          <w:b/>
          <w:bCs/>
          <w:color w:val="auto"/>
          <w:sz w:val="32"/>
          <w:szCs w:val="32"/>
          <w:lang w:val="en-US" w:eastAsia="zh-CN" w:bidi="ar"/>
        </w:rPr>
      </w:pPr>
      <w:r>
        <w:rPr>
          <w:rFonts w:hint="eastAsia" w:ascii="宋体" w:hAnsi="宋体" w:cs="宋体"/>
          <w:b/>
          <w:bCs/>
          <w:color w:val="auto"/>
          <w:sz w:val="32"/>
          <w:szCs w:val="32"/>
          <w:lang w:eastAsia="zh-CN" w:bidi="ar"/>
        </w:rPr>
        <w:t>附件</w:t>
      </w:r>
      <w:r>
        <w:rPr>
          <w:rFonts w:hint="eastAsia" w:ascii="宋体" w:hAnsi="宋体" w:cs="宋体"/>
          <w:b/>
          <w:bCs/>
          <w:color w:val="auto"/>
          <w:sz w:val="32"/>
          <w:szCs w:val="32"/>
          <w:lang w:val="en-US" w:eastAsia="zh-CN" w:bidi="ar"/>
        </w:rPr>
        <w:t>1</w:t>
      </w:r>
    </w:p>
    <w:p w14:paraId="67C4AC67">
      <w:pPr>
        <w:spacing w:line="560" w:lineRule="exact"/>
        <w:ind w:firstLine="720" w:firstLineChars="200"/>
        <w:jc w:val="center"/>
        <w:rPr>
          <w:rFonts w:hint="eastAsia" w:ascii="方正小标宋_GBK" w:hAnsi="方正小标宋_GBK" w:eastAsia="方正小标宋_GBK" w:cs="方正小标宋_GBK"/>
          <w:color w:val="auto"/>
          <w:sz w:val="36"/>
          <w:szCs w:val="36"/>
          <w:lang w:eastAsia="zh-CN" w:bidi="ar"/>
        </w:rPr>
      </w:pPr>
      <w:r>
        <w:rPr>
          <w:rFonts w:hint="eastAsia" w:ascii="方正小标宋_GBK" w:hAnsi="方正小标宋_GBK" w:eastAsia="方正小标宋_GBK" w:cs="方正小标宋_GBK"/>
          <w:color w:val="auto"/>
          <w:sz w:val="36"/>
          <w:szCs w:val="36"/>
          <w:lang w:eastAsia="zh-CN" w:bidi="ar"/>
        </w:rPr>
        <w:t>项目采购需求</w:t>
      </w:r>
    </w:p>
    <w:p w14:paraId="1BE0C9FA">
      <w:pPr>
        <w:pStyle w:val="7"/>
        <w:numPr>
          <w:ilvl w:val="0"/>
          <w:numId w:val="0"/>
        </w:numPr>
        <w:shd w:val="clear" w:color="auto" w:fill="auto"/>
        <w:spacing w:before="0" w:beforeLines="0" w:beforeAutospacing="0" w:after="0" w:afterLines="0" w:afterAutospacing="0" w:line="360" w:lineRule="auto"/>
        <w:ind w:leftChars="200"/>
        <w:jc w:val="left"/>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一、项目内容</w:t>
      </w:r>
    </w:p>
    <w:p w14:paraId="49D417DF">
      <w:pPr>
        <w:pStyle w:val="9"/>
        <w:spacing w:before="120" w:after="120"/>
        <w:ind w:firstLine="482"/>
        <w:rPr>
          <w:rFonts w:hint="default"/>
          <w:color w:val="auto"/>
        </w:rPr>
      </w:pPr>
      <w:r>
        <w:rPr>
          <w:rFonts w:hint="eastAsia" w:ascii="宋体" w:hAnsi="宋体" w:eastAsia="宋体" w:cs="宋体"/>
          <w:b/>
          <w:bCs/>
          <w:color w:val="auto"/>
          <w:sz w:val="24"/>
          <w:szCs w:val="24"/>
          <w:highlight w:val="none"/>
          <w:lang w:val="en-US" w:eastAsia="zh-CN"/>
        </w:rPr>
        <w:t>（一）</w:t>
      </w:r>
      <w:r>
        <w:rPr>
          <w:rFonts w:hint="eastAsia" w:ascii="宋体" w:hAnsi="宋体" w:cs="宋体"/>
          <w:b/>
          <w:bCs/>
          <w:color w:val="auto"/>
          <w:sz w:val="24"/>
          <w:szCs w:val="24"/>
          <w:highlight w:val="none"/>
          <w:lang w:val="en-US" w:eastAsia="zh-CN"/>
        </w:rPr>
        <w:t>项目名称</w:t>
      </w:r>
    </w:p>
    <w:p w14:paraId="2B594DB8">
      <w:pPr>
        <w:pStyle w:val="8"/>
        <w:numPr>
          <w:ilvl w:val="0"/>
          <w:numId w:val="0"/>
        </w:numPr>
        <w:spacing w:beforeLines="0" w:beforeAutospacing="0" w:afterLines="0" w:afterAutospacing="0"/>
        <w:ind w:firstLine="480" w:firstLineChars="20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2027-2029年青羊区“7+9+1”噪声自动监测站运维服务采购项目</w:t>
      </w:r>
    </w:p>
    <w:p w14:paraId="4847B549">
      <w:pPr>
        <w:pStyle w:val="8"/>
        <w:numPr>
          <w:ilvl w:val="0"/>
          <w:numId w:val="0"/>
        </w:numPr>
        <w:spacing w:beforeLines="0" w:beforeAutospacing="0" w:afterLines="0" w:afterAutospacing="0"/>
        <w:ind w:firstLine="482" w:firstLineChars="200"/>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（二）服务内容</w:t>
      </w:r>
    </w:p>
    <w:p w14:paraId="50B30884">
      <w:pPr>
        <w:pStyle w:val="8"/>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总体要求：严格按照噪声自动监测设备有关行业规范要求开展运维服务，参照《功能区声环境质量自动监测技术规范》（HJ906-2017）、《环境噪声自动监测系统技术要求》（HJ907-2017）和《功能区声环境质量自动监测系统运行维护和质量控制技术要求（试行）》（（总站物字【2024】6号）、《四川省功能区声环境质量自动监测系统建设及运行管理暂行办法》及《四川省功能区声环境质量自动监测系统数据审核技术导则（暂行）》文件要求。本项目服务期间国家、四川省以及成都市有新的噪声自动站运维要求的，按最新要求执行。</w:t>
      </w:r>
    </w:p>
    <w:p w14:paraId="41C30158">
      <w:pPr>
        <w:pStyle w:val="8"/>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供应商负责承担履约期内7套功能区噪声自动监测子站（其中2套国控子站仅负责电费、网费和基础保障维修费）、9套人口密集区噪声自动监测显示设施和1套定向传声设备的电费、网络通信费、功能区噪声自动监测子站比对测试费、功能区噪声自动监测子站整机及气象采集单元检定或校准费、耗材配件费、备机备件费、人工费以及开展维护所需的一切费用。</w:t>
      </w:r>
    </w:p>
    <w:p w14:paraId="3448866E">
      <w:pPr>
        <w:pStyle w:val="8"/>
        <w:numPr>
          <w:ilvl w:val="0"/>
          <w:numId w:val="0"/>
        </w:numPr>
        <w:spacing w:beforeLines="0" w:beforeAutospacing="0" w:afterLines="0" w:afterAutospacing="0"/>
        <w:ind w:firstLine="482"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（三）服务要求</w:t>
      </w:r>
    </w:p>
    <w:p w14:paraId="1775ABAB">
      <w:pPr>
        <w:pStyle w:val="8"/>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1.供应商负责对17个站（点）的设备建立档案，包括点位信息（站点编号、地址、海拔、经纬度等）、设备信息（仪器型号、编号、运行时间、IP地址等）、仪器故障检修更换记录等。</w:t>
      </w:r>
    </w:p>
    <w:p w14:paraId="54629A3D">
      <w:pPr>
        <w:pStyle w:val="8"/>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2.供应商应指派固定的且具备相应技术能力的工作人员参与各噪声自动监测点位的日常维护，确保各监测站点正常运行，并配备开展维护工作所需的辅助工具。</w:t>
      </w:r>
    </w:p>
    <w:p w14:paraId="3D3E1114">
      <w:pPr>
        <w:pStyle w:val="8"/>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日常巡检维护：运维团队定期、不定期对噪声监测终端进行巡检，查看设备运行状态、数据传输情况、电源供应等参数，及时发现潜在异常；对监测终端的外观进行清洁，清除灰尘、污垢、杂物等，检查设备安装是否牢固，有无松动、损坏现象；对传感器、数据采集模块、通信模块等关键部件进行检查，确保连接正常、无腐蚀、无损坏；检查防雷、防雨、防风等防护设施是否完好有效，保障设备在恶劣天气条件下的安全运行。</w:t>
      </w:r>
    </w:p>
    <w:p w14:paraId="0A443C94">
      <w:pPr>
        <w:pStyle w:val="8"/>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（2）设备检定校准：依据国家计量标准与行业规范，定期对5套声环境功能区噪声自动监测设备进行检定校准，出具检定校准证书。</w:t>
      </w:r>
    </w:p>
    <w:p w14:paraId="2C037452">
      <w:pPr>
        <w:pStyle w:val="8"/>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（3）故障维修与应急处理：当噪声监测终端发生故障时，运维团队迅速启动故障响应流程，按照相应要求及时排除故障。</w:t>
      </w:r>
    </w:p>
    <w:p w14:paraId="7AB54388">
      <w:pPr>
        <w:pStyle w:val="8"/>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（4）协助基础保障：做好站点设备电力、通讯、网络、安全等基础条件保障，协助开展国控站和非国控站每月巡查，防范纠治选择性治理和人为干扰行为，发现问题如实记录并报告。</w:t>
      </w:r>
    </w:p>
    <w:p w14:paraId="4A4172F7">
      <w:pPr>
        <w:pStyle w:val="8"/>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供应商应指定专人通过监控系统（管理平台）每日对各站点运行情况进行跟踪检查，检查内容包括但不限于服务器是否正常、发布内容是否正常、站点时钟和日历设置是否正常、噪声监控系统是否运行正常以及监测数据是否异常等，每日检查情况按要求做好记录。</w:t>
      </w:r>
    </w:p>
    <w:p w14:paraId="2B39D965">
      <w:pPr>
        <w:pStyle w:val="8"/>
        <w:numPr>
          <w:ilvl w:val="0"/>
          <w:numId w:val="0"/>
        </w:numPr>
        <w:spacing w:beforeLines="0" w:beforeAutospacing="0" w:afterLines="0" w:afterAutospacing="0"/>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4.供应商应指定专人在规定时限按数据审核要求在噪声管理平台上完成各功能区噪声自动监测子站原始数据审核工作。</w:t>
      </w:r>
    </w:p>
    <w:p w14:paraId="72CA32F8">
      <w:pPr>
        <w:pageBreakBefore w:val="0"/>
        <w:widowControl w:val="0"/>
        <w:shd w:val="clear" w:color="auto" w:fill="auto"/>
        <w:kinsoku/>
        <w:wordWrap/>
        <w:overflowPunct/>
        <w:topLinePunct w:val="0"/>
        <w:autoSpaceDE/>
        <w:autoSpaceDN/>
        <w:bidi w:val="0"/>
        <w:adjustRightInd w:val="0"/>
        <w:snapToGrid w:val="0"/>
        <w:spacing w:line="360" w:lineRule="auto"/>
        <w:ind w:left="0" w:firstLine="480" w:firstLineChars="200"/>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.供应商应在季度、半年、年结束后10天内向采购人提交季度、半年、年度运维报告。</w:t>
      </w:r>
    </w:p>
    <w:p w14:paraId="2502AA76">
      <w:pPr>
        <w:pStyle w:val="8"/>
        <w:numPr>
          <w:ilvl w:val="0"/>
          <w:numId w:val="0"/>
        </w:numPr>
        <w:spacing w:beforeLines="0" w:beforeAutospacing="0" w:afterLines="0" w:afterAutospacing="0"/>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6.运维设备清单</w:t>
      </w:r>
    </w:p>
    <w:tbl>
      <w:tblPr>
        <w:tblStyle w:val="5"/>
        <w:tblW w:w="82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3"/>
        <w:gridCol w:w="5959"/>
      </w:tblGrid>
      <w:tr w14:paraId="6776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2" w:type="dxa"/>
            <w:gridSpan w:val="2"/>
            <w:noWrap w:val="0"/>
            <w:vAlign w:val="top"/>
          </w:tcPr>
          <w:p w14:paraId="04573B8C">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青羊区“7+9+1”噪声自动监测站设备清单</w:t>
            </w:r>
          </w:p>
        </w:tc>
      </w:tr>
      <w:tr w14:paraId="558B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restart"/>
            <w:noWrap w:val="0"/>
            <w:vAlign w:val="center"/>
          </w:tcPr>
          <w:p w14:paraId="087CF64C">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功能区噪声监测自动站7套</w:t>
            </w:r>
          </w:p>
        </w:tc>
        <w:tc>
          <w:tcPr>
            <w:tcW w:w="5959" w:type="dxa"/>
            <w:noWrap w:val="0"/>
            <w:vAlign w:val="center"/>
          </w:tcPr>
          <w:p w14:paraId="6053CB80">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长城社区</w:t>
            </w:r>
            <w:r>
              <w:rPr>
                <w:rFonts w:hint="eastAsia" w:ascii="仿宋" w:hAnsi="仿宋" w:eastAsia="仿宋" w:cs="仿宋"/>
                <w:color w:val="0000FF"/>
                <w:sz w:val="24"/>
                <w:szCs w:val="24"/>
                <w:lang w:val="en-US" w:eastAsia="zh-CN"/>
              </w:rPr>
              <w:t>（仅负责电费、网费和基础保障维修费）</w:t>
            </w:r>
          </w:p>
        </w:tc>
      </w:tr>
      <w:tr w14:paraId="63C7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10B9DC9C">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6C867CF4">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成都青羊发展工业园</w:t>
            </w:r>
          </w:p>
        </w:tc>
      </w:tr>
      <w:tr w14:paraId="6548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28D0EDC7">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126421AA">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金鹏街</w:t>
            </w:r>
          </w:p>
        </w:tc>
      </w:tr>
      <w:tr w14:paraId="79A9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725B6B70">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594B236C">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芳邻路社区</w:t>
            </w:r>
            <w:r>
              <w:rPr>
                <w:rFonts w:hint="eastAsia" w:ascii="仿宋" w:hAnsi="仿宋" w:eastAsia="仿宋" w:cs="仿宋"/>
                <w:color w:val="0000FF"/>
                <w:sz w:val="24"/>
                <w:szCs w:val="24"/>
                <w:lang w:val="en-US" w:eastAsia="zh-CN"/>
              </w:rPr>
              <w:t>（仅负责电费、网费和基础保障维修费）</w:t>
            </w:r>
          </w:p>
        </w:tc>
      </w:tr>
      <w:tr w14:paraId="59035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7E1804DE">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04915BDD">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川藏铁路青羊段</w:t>
            </w:r>
          </w:p>
        </w:tc>
      </w:tr>
      <w:tr w14:paraId="3F2C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77189F57">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3CC50889">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草堂路社区</w:t>
            </w:r>
          </w:p>
        </w:tc>
      </w:tr>
      <w:tr w14:paraId="2606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3D9386E5">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510F4458">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浣花社区</w:t>
            </w:r>
          </w:p>
        </w:tc>
      </w:tr>
      <w:tr w14:paraId="27AF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restart"/>
            <w:noWrap w:val="0"/>
            <w:vAlign w:val="center"/>
          </w:tcPr>
          <w:p w14:paraId="10AACAD7">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噪声自动监测显示设施9套</w:t>
            </w:r>
          </w:p>
        </w:tc>
        <w:tc>
          <w:tcPr>
            <w:tcW w:w="5959" w:type="dxa"/>
            <w:noWrap w:val="0"/>
            <w:vAlign w:val="center"/>
          </w:tcPr>
          <w:p w14:paraId="639AF535">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Coco蜜城</w:t>
            </w:r>
          </w:p>
        </w:tc>
      </w:tr>
      <w:tr w14:paraId="77789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76869C25">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464E706E">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天鹅湖</w:t>
            </w:r>
          </w:p>
        </w:tc>
      </w:tr>
      <w:tr w14:paraId="627A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07BB5DE8">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14A3DF8F">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苏坡中路</w:t>
            </w:r>
          </w:p>
        </w:tc>
      </w:tr>
      <w:tr w14:paraId="434B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15724067">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19CEE6E5">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金沙滨河公园1期</w:t>
            </w:r>
          </w:p>
        </w:tc>
      </w:tr>
      <w:tr w14:paraId="60F1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7B2790E5">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0519478C">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金沙滨河公园2期</w:t>
            </w:r>
          </w:p>
        </w:tc>
      </w:tr>
      <w:tr w14:paraId="0C52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3E5BEA6B">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18653F3C">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清源三路</w:t>
            </w:r>
          </w:p>
        </w:tc>
      </w:tr>
      <w:tr w14:paraId="5490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2876F4A6">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5AC029F1">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同辉园公园</w:t>
            </w:r>
          </w:p>
        </w:tc>
      </w:tr>
      <w:tr w14:paraId="2A58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65856C94">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5C7E9930">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清水河清波公园</w:t>
            </w:r>
          </w:p>
        </w:tc>
      </w:tr>
      <w:tr w14:paraId="0115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vMerge w:val="continue"/>
            <w:noWrap w:val="0"/>
            <w:vAlign w:val="center"/>
          </w:tcPr>
          <w:p w14:paraId="647E0CAC">
            <w:pPr>
              <w:spacing w:line="360" w:lineRule="auto"/>
              <w:jc w:val="center"/>
              <w:rPr>
                <w:rFonts w:hint="eastAsia" w:ascii="仿宋" w:hAnsi="仿宋" w:eastAsia="仿宋" w:cs="仿宋"/>
                <w:color w:val="auto"/>
                <w:sz w:val="24"/>
                <w:szCs w:val="24"/>
                <w:lang w:val="en-US" w:eastAsia="zh-CN"/>
              </w:rPr>
            </w:pPr>
          </w:p>
        </w:tc>
        <w:tc>
          <w:tcPr>
            <w:tcW w:w="5959" w:type="dxa"/>
            <w:noWrap w:val="0"/>
            <w:vAlign w:val="center"/>
          </w:tcPr>
          <w:p w14:paraId="2F697EDF">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石人公园</w:t>
            </w:r>
          </w:p>
        </w:tc>
      </w:tr>
      <w:tr w14:paraId="7493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83" w:type="dxa"/>
            <w:noWrap w:val="0"/>
            <w:vAlign w:val="center"/>
          </w:tcPr>
          <w:p w14:paraId="74CB6A29">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定向传声设备1套</w:t>
            </w:r>
          </w:p>
        </w:tc>
        <w:tc>
          <w:tcPr>
            <w:tcW w:w="5959" w:type="dxa"/>
            <w:noWrap w:val="0"/>
            <w:vAlign w:val="center"/>
          </w:tcPr>
          <w:p w14:paraId="4D287D99">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同瑞园</w:t>
            </w:r>
          </w:p>
        </w:tc>
      </w:tr>
    </w:tbl>
    <w:p w14:paraId="4198B10F">
      <w:pPr>
        <w:pStyle w:val="2"/>
        <w:ind w:firstLine="420" w:firstLineChars="200"/>
        <w:rPr>
          <w:rFonts w:hint="default"/>
          <w:color w:val="auto"/>
          <w:lang w:val="en-US" w:eastAsia="zh-CN"/>
        </w:rPr>
      </w:pPr>
    </w:p>
    <w:p w14:paraId="1826936F">
      <w:pPr>
        <w:pageBreakBefore w:val="0"/>
        <w:widowControl w:val="0"/>
        <w:shd w:val="clear" w:color="auto" w:fill="auto"/>
        <w:kinsoku/>
        <w:wordWrap/>
        <w:overflowPunct/>
        <w:topLinePunct w:val="0"/>
        <w:autoSpaceDE/>
        <w:autoSpaceDN/>
        <w:bidi w:val="0"/>
        <w:adjustRightInd w:val="0"/>
        <w:snapToGrid w:val="0"/>
        <w:spacing w:line="360" w:lineRule="auto"/>
        <w:ind w:left="0" w:firstLine="430" w:firstLineChars="200"/>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pacing w:val="-13"/>
          <w:sz w:val="24"/>
          <w:szCs w:val="24"/>
          <w:highlight w:val="none"/>
          <w:lang w:val="en-US" w:eastAsia="zh-CN"/>
        </w:rPr>
        <w:t>二</w:t>
      </w:r>
      <w:r>
        <w:rPr>
          <w:rFonts w:hint="eastAsia" w:ascii="宋体" w:hAnsi="宋体" w:eastAsia="宋体" w:cs="宋体"/>
          <w:b/>
          <w:bCs/>
          <w:color w:val="auto"/>
          <w:sz w:val="24"/>
          <w:szCs w:val="24"/>
          <w:highlight w:val="none"/>
          <w:lang w:val="en-US" w:eastAsia="zh-CN"/>
        </w:rPr>
        <w:t>、商务</w:t>
      </w:r>
      <w:r>
        <w:rPr>
          <w:rFonts w:hint="eastAsia" w:ascii="宋体" w:hAnsi="宋体" w:eastAsia="宋体" w:cs="宋体"/>
          <w:b/>
          <w:bCs/>
          <w:color w:val="auto"/>
          <w:sz w:val="24"/>
          <w:szCs w:val="24"/>
          <w:highlight w:val="none"/>
        </w:rPr>
        <w:t>要求</w:t>
      </w:r>
    </w:p>
    <w:p w14:paraId="41636EA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en-US" w:eastAsia="zh-CN"/>
        </w:rPr>
      </w:pPr>
      <w:bookmarkStart w:id="0" w:name="_Toc9705"/>
      <w:r>
        <w:rPr>
          <w:rFonts w:hint="eastAsia" w:ascii="宋体" w:hAnsi="宋体" w:eastAsia="宋体" w:cs="宋体"/>
          <w:color w:val="auto"/>
          <w:sz w:val="24"/>
          <w:szCs w:val="24"/>
          <w:highlight w:val="none"/>
          <w:lang w:val="en-US" w:eastAsia="zh-CN"/>
        </w:rPr>
        <w:t>1、服务期限：自合同签订之日起3年（本项目一采三年，合同一年一签，第二年根据考核结果决定是否续签下一年合同）。</w:t>
      </w:r>
    </w:p>
    <w:p w14:paraId="7135D08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2、服务地点：成都市青羊区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具体地点</w:t>
      </w:r>
      <w:r>
        <w:rPr>
          <w:rFonts w:hint="eastAsia" w:ascii="宋体" w:hAnsi="宋体" w:eastAsia="宋体" w:cs="宋体"/>
          <w:i w:val="0"/>
          <w:iCs w:val="0"/>
          <w:color w:val="auto"/>
          <w:kern w:val="0"/>
          <w:sz w:val="24"/>
          <w:szCs w:val="24"/>
          <w:highlight w:val="none"/>
          <w:u w:val="none"/>
          <w:lang w:val="en-US" w:eastAsia="zh-CN" w:bidi="ar"/>
        </w:rPr>
        <w:t>以</w:t>
      </w:r>
      <w:r>
        <w:rPr>
          <w:rFonts w:hint="eastAsia" w:ascii="宋体" w:hAnsi="宋体" w:cs="宋体"/>
          <w:color w:val="auto"/>
          <w:sz w:val="24"/>
          <w:szCs w:val="24"/>
          <w:highlight w:val="none"/>
          <w:lang w:val="en-US" w:eastAsia="zh-CN"/>
        </w:rPr>
        <w:t>采购人</w:t>
      </w:r>
      <w:r>
        <w:rPr>
          <w:rFonts w:hint="eastAsia" w:ascii="宋体" w:hAnsi="宋体" w:eastAsia="宋体" w:cs="宋体"/>
          <w:color w:val="auto"/>
          <w:sz w:val="24"/>
          <w:szCs w:val="24"/>
          <w:highlight w:val="none"/>
          <w:lang w:val="en-US" w:eastAsia="zh-CN"/>
        </w:rPr>
        <w:t>通知为准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w:t>
      </w:r>
    </w:p>
    <w:p w14:paraId="36CF1F11">
      <w:pPr>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bookmarkEnd w:id="0"/>
      <w:r>
        <w:rPr>
          <w:rFonts w:hint="eastAsia" w:ascii="宋体" w:hAnsi="宋体" w:eastAsia="宋体" w:cs="宋体"/>
          <w:color w:val="auto"/>
          <w:sz w:val="24"/>
          <w:szCs w:val="24"/>
          <w:highlight w:val="none"/>
          <w:lang w:val="en-US" w:eastAsia="zh-CN"/>
        </w:rPr>
        <w:t>付款方式：（1）签订采购服务合同后，甲方自收到乙方发票后（因系统固化原因，支付时限按工作日执行)，达到付款条件起10日内，支付合同总金额的40.00%；（2）第二笔款项，服务期满6个月，经甲方考核后，达到付款条件起10日内，支付合同总金额的40.00%；（3）尾款，服务期结束，经甲方组织该年度履约验收，验收合格后，甲方自收到乙方发票后向乙方据实支付剩余合同金额，达到付款条件起10日内，支付合同总金额的20.00%。</w:t>
      </w:r>
    </w:p>
    <w:p w14:paraId="2B1C174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4、履约验收：本次采购项目</w:t>
      </w:r>
      <w:r>
        <w:rPr>
          <w:rFonts w:hint="eastAsia" w:ascii="宋体" w:hAnsi="宋体" w:cs="宋体"/>
          <w:color w:val="auto"/>
          <w:sz w:val="24"/>
          <w:szCs w:val="24"/>
          <w:highlight w:val="none"/>
          <w:lang w:val="en-US" w:eastAsia="zh-CN"/>
        </w:rPr>
        <w:t>采购人</w:t>
      </w:r>
      <w:r>
        <w:rPr>
          <w:rFonts w:hint="eastAsia" w:ascii="宋体" w:hAnsi="宋体" w:eastAsia="宋体" w:cs="宋体"/>
          <w:color w:val="auto"/>
          <w:sz w:val="24"/>
          <w:szCs w:val="24"/>
          <w:highlight w:val="none"/>
          <w:lang w:val="en-US" w:eastAsia="zh-CN"/>
        </w:rPr>
        <w:t>将严格按照政府采购相关法律法规以及《财政部关于进一步加强政府采购需求和履约验收管理的指导意见》(财库〔2016〕205号)、财政部《政府采购需求管理办法》（财库〔2021〕22号），</w:t>
      </w:r>
      <w:r>
        <w:rPr>
          <w:rFonts w:hint="eastAsia" w:ascii="宋体" w:hAnsi="宋体" w:cs="宋体"/>
          <w:color w:val="auto"/>
          <w:sz w:val="24"/>
          <w:szCs w:val="24"/>
          <w:highlight w:val="none"/>
          <w:lang w:val="en-US" w:eastAsia="zh-CN"/>
        </w:rPr>
        <w:t>采购</w:t>
      </w:r>
      <w:r>
        <w:rPr>
          <w:rFonts w:hint="eastAsia" w:ascii="宋体" w:hAnsi="宋体" w:eastAsia="宋体" w:cs="宋体"/>
          <w:color w:val="auto"/>
          <w:sz w:val="24"/>
          <w:szCs w:val="24"/>
          <w:highlight w:val="none"/>
          <w:lang w:val="en-US" w:eastAsia="zh-CN"/>
        </w:rPr>
        <w:t>文件的相关要求、</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w:t>
      </w:r>
      <w:r>
        <w:rPr>
          <w:rFonts w:hint="eastAsia" w:ascii="宋体" w:hAnsi="宋体" w:cs="宋体"/>
          <w:color w:val="auto"/>
          <w:sz w:val="24"/>
          <w:szCs w:val="24"/>
          <w:highlight w:val="none"/>
          <w:lang w:val="zh-CN" w:eastAsia="zh-CN"/>
        </w:rPr>
        <w:t>采购</w:t>
      </w:r>
      <w:r>
        <w:rPr>
          <w:rFonts w:hint="eastAsia" w:ascii="宋体" w:hAnsi="宋体" w:eastAsia="宋体" w:cs="宋体"/>
          <w:color w:val="auto"/>
          <w:sz w:val="24"/>
          <w:szCs w:val="24"/>
          <w:highlight w:val="none"/>
          <w:lang w:val="zh-CN" w:eastAsia="zh-CN"/>
        </w:rPr>
        <w:t>申请</w:t>
      </w:r>
      <w:r>
        <w:rPr>
          <w:rFonts w:hint="eastAsia" w:ascii="宋体" w:hAnsi="宋体" w:eastAsia="宋体" w:cs="宋体"/>
          <w:color w:val="auto"/>
          <w:sz w:val="24"/>
          <w:szCs w:val="24"/>
          <w:highlight w:val="none"/>
          <w:lang w:val="en-US" w:eastAsia="zh-CN"/>
        </w:rPr>
        <w:t>书及承诺进行验收。</w:t>
      </w:r>
    </w:p>
    <w:p w14:paraId="02DD2959">
      <w:pPr>
        <w:rPr>
          <w:rFonts w:hint="eastAsia" w:ascii="方正黑体_GBK" w:hAnsi="方正黑体_GBK" w:eastAsia="方正黑体_GBK" w:cs="方正黑体_GBK"/>
          <w:color w:val="auto"/>
          <w:sz w:val="28"/>
          <w:szCs w:val="28"/>
          <w:lang w:val="en-US" w:eastAsia="zh-CN"/>
        </w:rPr>
      </w:pPr>
    </w:p>
    <w:p w14:paraId="04AC1723">
      <w:pPr>
        <w:rPr>
          <w:rFonts w:hint="eastAsia" w:ascii="方正黑体_GBK" w:hAnsi="方正黑体_GBK" w:eastAsia="方正黑体_GBK" w:cs="方正黑体_GBK"/>
          <w:color w:val="auto"/>
          <w:sz w:val="28"/>
          <w:szCs w:val="28"/>
          <w:lang w:val="en-US" w:eastAsia="zh-CN"/>
        </w:rPr>
      </w:pPr>
      <w:r>
        <w:rPr>
          <w:rFonts w:hint="eastAsia" w:ascii="方正黑体_GBK" w:hAnsi="方正黑体_GBK" w:eastAsia="方正黑体_GBK" w:cs="方正黑体_GBK"/>
          <w:color w:val="auto"/>
          <w:sz w:val="28"/>
          <w:szCs w:val="28"/>
          <w:lang w:val="en-US" w:eastAsia="zh-CN"/>
        </w:rPr>
        <w:br w:type="page"/>
      </w:r>
    </w:p>
    <w:p w14:paraId="240C5EF1">
      <w:pPr>
        <w:jc w:val="left"/>
        <w:rPr>
          <w:rFonts w:hint="default" w:ascii="方正黑体_GBK" w:hAnsi="方正黑体_GBK" w:eastAsia="方正黑体_GBK" w:cs="方正黑体_GBK"/>
          <w:color w:val="auto"/>
          <w:sz w:val="28"/>
          <w:szCs w:val="28"/>
          <w:lang w:val="en-US" w:eastAsia="zh-CN"/>
        </w:rPr>
      </w:pPr>
      <w:r>
        <w:rPr>
          <w:rFonts w:hint="eastAsia" w:ascii="方正黑体_GBK" w:hAnsi="方正黑体_GBK" w:eastAsia="方正黑体_GBK" w:cs="方正黑体_GBK"/>
          <w:color w:val="auto"/>
          <w:sz w:val="28"/>
          <w:szCs w:val="28"/>
          <w:lang w:val="en-US" w:eastAsia="zh-CN"/>
        </w:rPr>
        <w:t>附件2：</w:t>
      </w:r>
    </w:p>
    <w:p w14:paraId="5CE2D1EF">
      <w:pPr>
        <w:spacing w:before="315" w:beforeLines="100" w:beforeAutospacing="0" w:after="423" w:afterLines="135" w:afterAutospacing="0"/>
        <w:jc w:val="center"/>
        <w:rPr>
          <w:rFonts w:hint="eastAsia" w:ascii="方正黑体_GBK" w:hAnsi="方正黑体_GBK" w:eastAsia="方正黑体_GBK" w:cs="方正黑体_GBK"/>
          <w:color w:val="auto"/>
          <w:sz w:val="36"/>
          <w:szCs w:val="36"/>
          <w:lang w:val="en-US" w:eastAsia="zh-CN"/>
        </w:rPr>
      </w:pPr>
      <w:r>
        <w:rPr>
          <w:rFonts w:hint="eastAsia" w:ascii="方正黑体_GBK" w:hAnsi="方正黑体_GBK" w:eastAsia="方正黑体_GBK" w:cs="方正黑体_GBK"/>
          <w:color w:val="auto"/>
          <w:sz w:val="36"/>
          <w:szCs w:val="36"/>
          <w:lang w:val="en-US" w:eastAsia="zh-CN"/>
        </w:rPr>
        <w:t>询价回复函</w:t>
      </w:r>
    </w:p>
    <w:p w14:paraId="68A805B5">
      <w:pPr>
        <w:rPr>
          <w:rFonts w:hint="eastAsia" w:ascii="方正仿宋_GBK" w:hAnsi="方正仿宋_GBK" w:eastAsia="方正仿宋_GBK" w:cs="方正仿宋_GBK"/>
          <w:color w:val="auto"/>
          <w:sz w:val="30"/>
          <w:szCs w:val="30"/>
          <w:lang w:eastAsia="zh-CN"/>
        </w:rPr>
      </w:pPr>
      <w:r>
        <w:rPr>
          <w:rFonts w:hint="eastAsia" w:ascii="方正仿宋_GBK" w:hAnsi="方正仿宋_GBK" w:eastAsia="方正仿宋_GBK" w:cs="方正仿宋_GBK"/>
          <w:color w:val="auto"/>
          <w:sz w:val="30"/>
          <w:szCs w:val="30"/>
        </w:rPr>
        <w:t>成都市青羊生态环境局</w:t>
      </w:r>
      <w:r>
        <w:rPr>
          <w:rFonts w:hint="eastAsia" w:ascii="方正仿宋_GBK" w:hAnsi="方正仿宋_GBK" w:eastAsia="方正仿宋_GBK" w:cs="方正仿宋_GBK"/>
          <w:color w:val="auto"/>
          <w:sz w:val="30"/>
          <w:szCs w:val="30"/>
          <w:lang w:eastAsia="zh-CN"/>
        </w:rPr>
        <w:t>：</w:t>
      </w:r>
    </w:p>
    <w:p w14:paraId="0698A5DC">
      <w:pPr>
        <w:ind w:firstLine="600" w:firstLineChars="200"/>
        <w:rPr>
          <w:rFonts w:hint="eastAsia"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lang w:val="en-US" w:eastAsia="zh-CN"/>
        </w:rPr>
        <w:t>感谢贵单位的来函，经过我们专业团体的仔细研究和评估，我们理解了贵单位</w:t>
      </w:r>
      <w:r>
        <w:rPr>
          <w:rFonts w:hint="eastAsia" w:ascii="方正仿宋_GBK" w:hAnsi="方正仿宋_GBK" w:eastAsia="方正仿宋_GBK" w:cs="方正仿宋_GBK"/>
          <w:color w:val="auto"/>
          <w:sz w:val="30"/>
          <w:szCs w:val="30"/>
          <w:u w:val="single"/>
          <w:lang w:val="en-US" w:eastAsia="zh-CN"/>
        </w:rPr>
        <w:t xml:space="preserve">                                        </w:t>
      </w:r>
      <w:r>
        <w:rPr>
          <w:rFonts w:hint="eastAsia" w:ascii="方正仿宋_GBK" w:hAnsi="方正仿宋_GBK" w:eastAsia="方正仿宋_GBK" w:cs="方正仿宋_GBK"/>
          <w:color w:val="auto"/>
          <w:sz w:val="30"/>
          <w:szCs w:val="30"/>
          <w:lang w:val="en-US" w:eastAsia="zh-CN"/>
        </w:rPr>
        <w:t>采购项目的需求，我司结合该项目具体要求和我司实际经营情况，提供该项目询价报价为：</w:t>
      </w:r>
      <w:r>
        <w:rPr>
          <w:rFonts w:hint="eastAsia" w:ascii="方正仿宋_GBK" w:hAnsi="方正仿宋_GBK" w:eastAsia="方正仿宋_GBK" w:cs="方正仿宋_GBK"/>
          <w:color w:val="auto"/>
          <w:sz w:val="30"/>
          <w:szCs w:val="30"/>
        </w:rPr>
        <w:t>人民币</w:t>
      </w:r>
      <w:r>
        <w:rPr>
          <w:rFonts w:hint="eastAsia" w:ascii="方正仿宋_GBK" w:hAnsi="方正仿宋_GBK" w:eastAsia="方正仿宋_GBK" w:cs="方正仿宋_GBK"/>
          <w:color w:val="auto"/>
          <w:sz w:val="30"/>
          <w:szCs w:val="30"/>
          <w:u w:val="single"/>
        </w:rPr>
        <w:t xml:space="preserve">    </w:t>
      </w:r>
      <w:r>
        <w:rPr>
          <w:rFonts w:hint="eastAsia" w:ascii="方正仿宋_GBK" w:hAnsi="方正仿宋_GBK" w:eastAsia="方正仿宋_GBK" w:cs="方正仿宋_GBK"/>
          <w:color w:val="auto"/>
          <w:sz w:val="30"/>
          <w:szCs w:val="30"/>
          <w:u w:val="single"/>
          <w:lang w:val="en-US" w:eastAsia="zh-CN"/>
        </w:rPr>
        <w:t xml:space="preserve">    </w:t>
      </w:r>
      <w:r>
        <w:rPr>
          <w:rFonts w:hint="eastAsia" w:ascii="方正仿宋_GBK" w:hAnsi="方正仿宋_GBK" w:eastAsia="方正仿宋_GBK" w:cs="方正仿宋_GBK"/>
          <w:color w:val="auto"/>
          <w:sz w:val="30"/>
          <w:szCs w:val="30"/>
          <w:u w:val="single"/>
        </w:rPr>
        <w:t xml:space="preserve"> </w:t>
      </w:r>
      <w:r>
        <w:rPr>
          <w:rFonts w:hint="eastAsia" w:ascii="方正仿宋_GBK" w:hAnsi="方正仿宋_GBK" w:eastAsia="方正仿宋_GBK" w:cs="方正仿宋_GBK"/>
          <w:color w:val="auto"/>
          <w:sz w:val="30"/>
          <w:szCs w:val="30"/>
          <w:u w:val="single"/>
          <w:lang w:val="en-US" w:eastAsia="zh-CN"/>
        </w:rPr>
        <w:t xml:space="preserve">  </w:t>
      </w:r>
      <w:r>
        <w:rPr>
          <w:rFonts w:hint="eastAsia" w:ascii="方正仿宋_GBK" w:hAnsi="方正仿宋_GBK" w:eastAsia="方正仿宋_GBK" w:cs="方正仿宋_GBK"/>
          <w:color w:val="auto"/>
          <w:sz w:val="30"/>
          <w:szCs w:val="30"/>
          <w:u w:val="single"/>
        </w:rPr>
        <w:t xml:space="preserve">  </w:t>
      </w:r>
      <w:r>
        <w:rPr>
          <w:rFonts w:hint="eastAsia" w:ascii="方正仿宋_GBK" w:hAnsi="方正仿宋_GBK" w:eastAsia="方正仿宋_GBK" w:cs="方正仿宋_GBK"/>
          <w:color w:val="auto"/>
          <w:sz w:val="30"/>
          <w:szCs w:val="30"/>
        </w:rPr>
        <w:t>元</w:t>
      </w:r>
      <w:r>
        <w:rPr>
          <w:rFonts w:hint="eastAsia" w:ascii="方正仿宋_GBK" w:hAnsi="方正仿宋_GBK" w:eastAsia="方正仿宋_GBK" w:cs="方正仿宋_GBK"/>
          <w:color w:val="auto"/>
          <w:sz w:val="30"/>
          <w:szCs w:val="30"/>
          <w:lang w:val="en-US" w:eastAsia="zh-CN"/>
        </w:rPr>
        <w:t>/年。设备运维服务分项报价表如下：</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6"/>
        <w:gridCol w:w="4365"/>
        <w:gridCol w:w="2221"/>
      </w:tblGrid>
      <w:tr w14:paraId="5EAE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1" w:type="dxa"/>
            <w:gridSpan w:val="2"/>
            <w:noWrap w:val="0"/>
            <w:vAlign w:val="top"/>
          </w:tcPr>
          <w:p w14:paraId="3C6C37F9">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青羊区“7+9+1”噪声自动监测站设备清单</w:t>
            </w:r>
          </w:p>
        </w:tc>
        <w:tc>
          <w:tcPr>
            <w:tcW w:w="2221" w:type="dxa"/>
            <w:noWrap w:val="0"/>
            <w:vAlign w:val="top"/>
          </w:tcPr>
          <w:p w14:paraId="543EC9C4">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设备运维服务报价</w:t>
            </w:r>
          </w:p>
        </w:tc>
      </w:tr>
      <w:tr w14:paraId="4956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restart"/>
            <w:noWrap w:val="0"/>
            <w:vAlign w:val="center"/>
          </w:tcPr>
          <w:p w14:paraId="70A4F097">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功能区噪声监测自动站7套</w:t>
            </w:r>
          </w:p>
        </w:tc>
        <w:tc>
          <w:tcPr>
            <w:tcW w:w="4365" w:type="dxa"/>
            <w:noWrap w:val="0"/>
            <w:vAlign w:val="center"/>
          </w:tcPr>
          <w:p w14:paraId="5A68945E">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长城社区</w:t>
            </w:r>
            <w:r>
              <w:rPr>
                <w:rFonts w:hint="eastAsia" w:ascii="仿宋" w:hAnsi="仿宋" w:eastAsia="仿宋" w:cs="仿宋"/>
                <w:color w:val="0000FF"/>
                <w:sz w:val="24"/>
                <w:szCs w:val="24"/>
                <w:lang w:val="en-US" w:eastAsia="zh-CN"/>
              </w:rPr>
              <w:t>（仅负责电费、网费和基础保障维修费）</w:t>
            </w:r>
          </w:p>
        </w:tc>
        <w:tc>
          <w:tcPr>
            <w:tcW w:w="2221" w:type="dxa"/>
            <w:vMerge w:val="restart"/>
            <w:noWrap w:val="0"/>
            <w:vAlign w:val="center"/>
          </w:tcPr>
          <w:p w14:paraId="67D4AD87">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 元/套/年</w:t>
            </w:r>
          </w:p>
        </w:tc>
      </w:tr>
      <w:tr w14:paraId="0020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7642C75A">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5A7C636F">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成都青羊发展工业园</w:t>
            </w:r>
          </w:p>
        </w:tc>
        <w:tc>
          <w:tcPr>
            <w:tcW w:w="2221" w:type="dxa"/>
            <w:vMerge w:val="continue"/>
            <w:noWrap w:val="0"/>
            <w:vAlign w:val="center"/>
          </w:tcPr>
          <w:p w14:paraId="35D9AE69">
            <w:pPr>
              <w:spacing w:line="360" w:lineRule="auto"/>
              <w:jc w:val="center"/>
              <w:rPr>
                <w:rFonts w:hint="eastAsia" w:ascii="仿宋" w:hAnsi="仿宋" w:eastAsia="仿宋" w:cs="仿宋"/>
                <w:color w:val="auto"/>
                <w:sz w:val="24"/>
                <w:szCs w:val="24"/>
                <w:lang w:val="en-US" w:eastAsia="zh-CN"/>
              </w:rPr>
            </w:pPr>
          </w:p>
        </w:tc>
      </w:tr>
      <w:tr w14:paraId="3408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33C1E002">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5994FCF2">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金鹏街</w:t>
            </w:r>
          </w:p>
        </w:tc>
        <w:tc>
          <w:tcPr>
            <w:tcW w:w="2221" w:type="dxa"/>
            <w:vMerge w:val="continue"/>
            <w:noWrap w:val="0"/>
            <w:vAlign w:val="center"/>
          </w:tcPr>
          <w:p w14:paraId="51A3B83F">
            <w:pPr>
              <w:spacing w:line="360" w:lineRule="auto"/>
              <w:jc w:val="center"/>
              <w:rPr>
                <w:rFonts w:hint="eastAsia" w:ascii="仿宋" w:hAnsi="仿宋" w:eastAsia="仿宋" w:cs="仿宋"/>
                <w:color w:val="auto"/>
                <w:sz w:val="24"/>
                <w:szCs w:val="24"/>
                <w:lang w:val="en-US" w:eastAsia="zh-CN"/>
              </w:rPr>
            </w:pPr>
          </w:p>
        </w:tc>
      </w:tr>
      <w:tr w14:paraId="4636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61F6AF53">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3BC2864B">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芳邻路社区</w:t>
            </w:r>
            <w:r>
              <w:rPr>
                <w:rFonts w:hint="eastAsia" w:ascii="仿宋" w:hAnsi="仿宋" w:eastAsia="仿宋" w:cs="仿宋"/>
                <w:color w:val="0000FF"/>
                <w:sz w:val="24"/>
                <w:szCs w:val="24"/>
                <w:lang w:val="en-US" w:eastAsia="zh-CN"/>
              </w:rPr>
              <w:t>（仅负责电费、网费和基础保障维修费）</w:t>
            </w:r>
          </w:p>
        </w:tc>
        <w:tc>
          <w:tcPr>
            <w:tcW w:w="2221" w:type="dxa"/>
            <w:vMerge w:val="continue"/>
            <w:noWrap w:val="0"/>
            <w:vAlign w:val="center"/>
          </w:tcPr>
          <w:p w14:paraId="24F9E081">
            <w:pPr>
              <w:spacing w:line="360" w:lineRule="auto"/>
              <w:jc w:val="center"/>
              <w:rPr>
                <w:rFonts w:hint="eastAsia" w:ascii="仿宋" w:hAnsi="仿宋" w:eastAsia="仿宋" w:cs="仿宋"/>
                <w:color w:val="auto"/>
                <w:sz w:val="24"/>
                <w:szCs w:val="24"/>
                <w:lang w:val="en-US" w:eastAsia="zh-CN"/>
              </w:rPr>
            </w:pPr>
          </w:p>
        </w:tc>
      </w:tr>
      <w:tr w14:paraId="48391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5AAF2042">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3D295BB7">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川藏铁路青羊段</w:t>
            </w:r>
          </w:p>
        </w:tc>
        <w:tc>
          <w:tcPr>
            <w:tcW w:w="2221" w:type="dxa"/>
            <w:vMerge w:val="continue"/>
            <w:noWrap w:val="0"/>
            <w:vAlign w:val="center"/>
          </w:tcPr>
          <w:p w14:paraId="2E278B71">
            <w:pPr>
              <w:spacing w:line="360" w:lineRule="auto"/>
              <w:jc w:val="center"/>
              <w:rPr>
                <w:rFonts w:hint="eastAsia" w:ascii="仿宋" w:hAnsi="仿宋" w:eastAsia="仿宋" w:cs="仿宋"/>
                <w:color w:val="auto"/>
                <w:sz w:val="24"/>
                <w:szCs w:val="24"/>
                <w:lang w:val="en-US" w:eastAsia="zh-CN"/>
              </w:rPr>
            </w:pPr>
          </w:p>
        </w:tc>
      </w:tr>
      <w:tr w14:paraId="2289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0341D7F0">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37F239AF">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草堂路社区</w:t>
            </w:r>
          </w:p>
        </w:tc>
        <w:tc>
          <w:tcPr>
            <w:tcW w:w="2221" w:type="dxa"/>
            <w:vMerge w:val="restart"/>
            <w:noWrap w:val="0"/>
            <w:vAlign w:val="center"/>
          </w:tcPr>
          <w:p w14:paraId="5B4D7B7E">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 元/套/年</w:t>
            </w:r>
          </w:p>
        </w:tc>
      </w:tr>
      <w:tr w14:paraId="4FE77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660CC03D">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6572342B">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浣花社区</w:t>
            </w:r>
          </w:p>
        </w:tc>
        <w:tc>
          <w:tcPr>
            <w:tcW w:w="2221" w:type="dxa"/>
            <w:vMerge w:val="continue"/>
            <w:noWrap w:val="0"/>
            <w:vAlign w:val="center"/>
          </w:tcPr>
          <w:p w14:paraId="50A48F4C">
            <w:pPr>
              <w:spacing w:line="360" w:lineRule="auto"/>
              <w:jc w:val="center"/>
              <w:rPr>
                <w:rFonts w:hint="eastAsia" w:ascii="仿宋" w:hAnsi="仿宋" w:eastAsia="仿宋" w:cs="仿宋"/>
                <w:color w:val="auto"/>
                <w:sz w:val="24"/>
                <w:szCs w:val="24"/>
                <w:lang w:val="en-US" w:eastAsia="zh-CN"/>
              </w:rPr>
            </w:pPr>
          </w:p>
        </w:tc>
      </w:tr>
      <w:tr w14:paraId="48D5B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restart"/>
            <w:noWrap w:val="0"/>
            <w:vAlign w:val="center"/>
          </w:tcPr>
          <w:p w14:paraId="1E83D6F1">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噪声自动监测显示设施9套</w:t>
            </w:r>
          </w:p>
        </w:tc>
        <w:tc>
          <w:tcPr>
            <w:tcW w:w="4365" w:type="dxa"/>
            <w:noWrap w:val="0"/>
            <w:vAlign w:val="center"/>
          </w:tcPr>
          <w:p w14:paraId="7282E975">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Coco蜜城</w:t>
            </w:r>
          </w:p>
        </w:tc>
        <w:tc>
          <w:tcPr>
            <w:tcW w:w="2221" w:type="dxa"/>
            <w:vMerge w:val="restart"/>
            <w:noWrap w:val="0"/>
            <w:vAlign w:val="center"/>
          </w:tcPr>
          <w:p w14:paraId="616F79F0">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 元/套/年</w:t>
            </w:r>
          </w:p>
        </w:tc>
      </w:tr>
      <w:tr w14:paraId="24D2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228857F2">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6DBB7226">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天鹅湖</w:t>
            </w:r>
          </w:p>
        </w:tc>
        <w:tc>
          <w:tcPr>
            <w:tcW w:w="2221" w:type="dxa"/>
            <w:vMerge w:val="continue"/>
            <w:noWrap w:val="0"/>
            <w:vAlign w:val="center"/>
          </w:tcPr>
          <w:p w14:paraId="7A9E4871">
            <w:pPr>
              <w:spacing w:line="360" w:lineRule="auto"/>
              <w:jc w:val="center"/>
              <w:rPr>
                <w:rFonts w:hint="eastAsia" w:ascii="仿宋" w:hAnsi="仿宋" w:eastAsia="仿宋" w:cs="仿宋"/>
                <w:color w:val="auto"/>
                <w:sz w:val="24"/>
                <w:szCs w:val="24"/>
                <w:lang w:val="en-US" w:eastAsia="zh-CN"/>
              </w:rPr>
            </w:pPr>
          </w:p>
        </w:tc>
      </w:tr>
      <w:tr w14:paraId="7573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78B227AB">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560B0243">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苏坡中路</w:t>
            </w:r>
          </w:p>
        </w:tc>
        <w:tc>
          <w:tcPr>
            <w:tcW w:w="2221" w:type="dxa"/>
            <w:vMerge w:val="continue"/>
            <w:noWrap w:val="0"/>
            <w:vAlign w:val="center"/>
          </w:tcPr>
          <w:p w14:paraId="18B86890">
            <w:pPr>
              <w:spacing w:line="360" w:lineRule="auto"/>
              <w:jc w:val="center"/>
              <w:rPr>
                <w:rFonts w:hint="eastAsia" w:ascii="仿宋" w:hAnsi="仿宋" w:eastAsia="仿宋" w:cs="仿宋"/>
                <w:color w:val="auto"/>
                <w:sz w:val="24"/>
                <w:szCs w:val="24"/>
                <w:lang w:val="en-US" w:eastAsia="zh-CN"/>
              </w:rPr>
            </w:pPr>
          </w:p>
        </w:tc>
      </w:tr>
      <w:tr w14:paraId="6ADC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292C876F">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5A81E043">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金沙滨河公园1期</w:t>
            </w:r>
          </w:p>
        </w:tc>
        <w:tc>
          <w:tcPr>
            <w:tcW w:w="2221" w:type="dxa"/>
            <w:vMerge w:val="continue"/>
            <w:noWrap w:val="0"/>
            <w:vAlign w:val="center"/>
          </w:tcPr>
          <w:p w14:paraId="30367B8A">
            <w:pPr>
              <w:spacing w:line="360" w:lineRule="auto"/>
              <w:jc w:val="center"/>
              <w:rPr>
                <w:rFonts w:hint="eastAsia" w:ascii="仿宋" w:hAnsi="仿宋" w:eastAsia="仿宋" w:cs="仿宋"/>
                <w:color w:val="auto"/>
                <w:sz w:val="24"/>
                <w:szCs w:val="24"/>
                <w:lang w:val="en-US" w:eastAsia="zh-CN"/>
              </w:rPr>
            </w:pPr>
          </w:p>
        </w:tc>
      </w:tr>
      <w:tr w14:paraId="1257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1C77AE1B">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5EA275D6">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金沙滨河公园2期</w:t>
            </w:r>
          </w:p>
        </w:tc>
        <w:tc>
          <w:tcPr>
            <w:tcW w:w="2221" w:type="dxa"/>
            <w:vMerge w:val="continue"/>
            <w:noWrap w:val="0"/>
            <w:vAlign w:val="center"/>
          </w:tcPr>
          <w:p w14:paraId="175B86C9">
            <w:pPr>
              <w:spacing w:line="360" w:lineRule="auto"/>
              <w:jc w:val="center"/>
              <w:rPr>
                <w:rFonts w:hint="eastAsia" w:ascii="仿宋" w:hAnsi="仿宋" w:eastAsia="仿宋" w:cs="仿宋"/>
                <w:color w:val="auto"/>
                <w:sz w:val="24"/>
                <w:szCs w:val="24"/>
                <w:lang w:val="en-US" w:eastAsia="zh-CN"/>
              </w:rPr>
            </w:pPr>
          </w:p>
        </w:tc>
      </w:tr>
      <w:tr w14:paraId="31BC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28258CD7">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313527C8">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清源三路</w:t>
            </w:r>
          </w:p>
        </w:tc>
        <w:tc>
          <w:tcPr>
            <w:tcW w:w="2221" w:type="dxa"/>
            <w:vMerge w:val="continue"/>
            <w:noWrap w:val="0"/>
            <w:vAlign w:val="center"/>
          </w:tcPr>
          <w:p w14:paraId="6F1DB050">
            <w:pPr>
              <w:spacing w:line="360" w:lineRule="auto"/>
              <w:jc w:val="center"/>
              <w:rPr>
                <w:rFonts w:hint="eastAsia" w:ascii="仿宋" w:hAnsi="仿宋" w:eastAsia="仿宋" w:cs="仿宋"/>
                <w:color w:val="auto"/>
                <w:sz w:val="24"/>
                <w:szCs w:val="24"/>
                <w:lang w:val="en-US" w:eastAsia="zh-CN"/>
              </w:rPr>
            </w:pPr>
          </w:p>
        </w:tc>
      </w:tr>
      <w:tr w14:paraId="7BCC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74193473">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2243F2FD">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同辉园公园</w:t>
            </w:r>
          </w:p>
        </w:tc>
        <w:tc>
          <w:tcPr>
            <w:tcW w:w="2221" w:type="dxa"/>
            <w:vMerge w:val="continue"/>
            <w:noWrap w:val="0"/>
            <w:vAlign w:val="center"/>
          </w:tcPr>
          <w:p w14:paraId="224B08CE">
            <w:pPr>
              <w:spacing w:line="360" w:lineRule="auto"/>
              <w:jc w:val="center"/>
              <w:rPr>
                <w:rFonts w:hint="eastAsia" w:ascii="仿宋" w:hAnsi="仿宋" w:eastAsia="仿宋" w:cs="仿宋"/>
                <w:color w:val="auto"/>
                <w:sz w:val="24"/>
                <w:szCs w:val="24"/>
                <w:lang w:val="en-US" w:eastAsia="zh-CN"/>
              </w:rPr>
            </w:pPr>
          </w:p>
        </w:tc>
      </w:tr>
      <w:tr w14:paraId="7DBF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453C2FB1">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3858EC51">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清水河清波公园</w:t>
            </w:r>
          </w:p>
        </w:tc>
        <w:tc>
          <w:tcPr>
            <w:tcW w:w="2221" w:type="dxa"/>
            <w:vMerge w:val="continue"/>
            <w:noWrap w:val="0"/>
            <w:vAlign w:val="center"/>
          </w:tcPr>
          <w:p w14:paraId="6232655A">
            <w:pPr>
              <w:spacing w:line="360" w:lineRule="auto"/>
              <w:jc w:val="center"/>
              <w:rPr>
                <w:rFonts w:hint="eastAsia" w:ascii="仿宋" w:hAnsi="仿宋" w:eastAsia="仿宋" w:cs="仿宋"/>
                <w:color w:val="auto"/>
                <w:sz w:val="24"/>
                <w:szCs w:val="24"/>
                <w:lang w:val="en-US" w:eastAsia="zh-CN"/>
              </w:rPr>
            </w:pPr>
          </w:p>
        </w:tc>
      </w:tr>
      <w:tr w14:paraId="2F5D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vMerge w:val="continue"/>
            <w:noWrap w:val="0"/>
            <w:vAlign w:val="center"/>
          </w:tcPr>
          <w:p w14:paraId="2F5BC4D8">
            <w:pPr>
              <w:spacing w:line="360" w:lineRule="auto"/>
              <w:jc w:val="center"/>
              <w:rPr>
                <w:rFonts w:hint="eastAsia" w:ascii="仿宋" w:hAnsi="仿宋" w:eastAsia="仿宋" w:cs="仿宋"/>
                <w:color w:val="auto"/>
                <w:sz w:val="24"/>
                <w:szCs w:val="24"/>
                <w:lang w:val="en-US" w:eastAsia="zh-CN"/>
              </w:rPr>
            </w:pPr>
          </w:p>
        </w:tc>
        <w:tc>
          <w:tcPr>
            <w:tcW w:w="4365" w:type="dxa"/>
            <w:noWrap w:val="0"/>
            <w:vAlign w:val="center"/>
          </w:tcPr>
          <w:p w14:paraId="09D682CD">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石人公园</w:t>
            </w:r>
          </w:p>
        </w:tc>
        <w:tc>
          <w:tcPr>
            <w:tcW w:w="2221" w:type="dxa"/>
            <w:vMerge w:val="continue"/>
            <w:noWrap w:val="0"/>
            <w:vAlign w:val="center"/>
          </w:tcPr>
          <w:p w14:paraId="51A92B62">
            <w:pPr>
              <w:spacing w:line="360" w:lineRule="auto"/>
              <w:jc w:val="center"/>
              <w:rPr>
                <w:rFonts w:hint="eastAsia" w:ascii="仿宋" w:hAnsi="仿宋" w:eastAsia="仿宋" w:cs="仿宋"/>
                <w:color w:val="auto"/>
                <w:sz w:val="24"/>
                <w:szCs w:val="24"/>
                <w:lang w:val="en-US" w:eastAsia="zh-CN"/>
              </w:rPr>
            </w:pPr>
          </w:p>
        </w:tc>
      </w:tr>
      <w:tr w14:paraId="69CC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6" w:type="dxa"/>
            <w:noWrap w:val="0"/>
            <w:vAlign w:val="center"/>
          </w:tcPr>
          <w:p w14:paraId="037AA558">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定向传声设备1套</w:t>
            </w:r>
          </w:p>
        </w:tc>
        <w:tc>
          <w:tcPr>
            <w:tcW w:w="4365" w:type="dxa"/>
            <w:noWrap w:val="0"/>
            <w:vAlign w:val="center"/>
          </w:tcPr>
          <w:p w14:paraId="138140F9">
            <w:pPr>
              <w:spacing w:line="36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同瑞园</w:t>
            </w:r>
          </w:p>
        </w:tc>
        <w:tc>
          <w:tcPr>
            <w:tcW w:w="2221" w:type="dxa"/>
            <w:noWrap w:val="0"/>
            <w:vAlign w:val="center"/>
          </w:tcPr>
          <w:p w14:paraId="1C45FEC0">
            <w:pPr>
              <w:spacing w:line="36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 元/套/年</w:t>
            </w:r>
          </w:p>
        </w:tc>
      </w:tr>
    </w:tbl>
    <w:p w14:paraId="67459C66">
      <w:pPr>
        <w:pStyle w:val="2"/>
        <w:rPr>
          <w:rFonts w:hint="default"/>
          <w:color w:val="auto"/>
          <w:lang w:val="en-US" w:eastAsia="zh-CN"/>
        </w:rPr>
      </w:pPr>
    </w:p>
    <w:p w14:paraId="5D2DDACD">
      <w:pPr>
        <w:ind w:firstLine="600" w:firstLineChars="200"/>
        <w:rPr>
          <w:rFonts w:hint="eastAsia"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lang w:val="en-US" w:eastAsia="zh-CN"/>
        </w:rPr>
        <w:t>如有任何问题或者需要进一步的帮助，请随时与我们联系。</w:t>
      </w:r>
    </w:p>
    <w:p w14:paraId="72AB51DD">
      <w:pPr>
        <w:spacing w:beforeAutospacing="0" w:line="480" w:lineRule="auto"/>
        <w:jc w:val="left"/>
        <w:rPr>
          <w:rFonts w:hint="eastAsia" w:ascii="方正仿宋_GBK" w:hAnsi="方正仿宋_GBK" w:eastAsia="方正仿宋_GBK" w:cs="方正仿宋_GBK"/>
          <w:color w:val="auto"/>
          <w:sz w:val="30"/>
          <w:szCs w:val="30"/>
          <w:lang w:val="en-US" w:eastAsia="zh-CN"/>
        </w:rPr>
      </w:pPr>
    </w:p>
    <w:p w14:paraId="49865784">
      <w:pPr>
        <w:spacing w:beforeAutospacing="0" w:line="480" w:lineRule="auto"/>
        <w:jc w:val="left"/>
        <w:rPr>
          <w:rFonts w:hint="eastAsia" w:ascii="方正仿宋_GBK" w:hAnsi="方正仿宋_GBK" w:eastAsia="方正仿宋_GBK" w:cs="方正仿宋_GBK"/>
          <w:color w:val="auto"/>
          <w:sz w:val="30"/>
          <w:szCs w:val="30"/>
          <w:lang w:val="en-US" w:eastAsia="zh-CN"/>
        </w:rPr>
      </w:pPr>
    </w:p>
    <w:p w14:paraId="5023027E">
      <w:pPr>
        <w:spacing w:beforeAutospacing="0" w:line="480" w:lineRule="auto"/>
        <w:jc w:val="left"/>
        <w:rPr>
          <w:rFonts w:hint="eastAsia"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lang w:val="en-US" w:eastAsia="zh-CN"/>
        </w:rPr>
        <w:t>单位名称</w:t>
      </w:r>
      <w:r>
        <w:rPr>
          <w:rFonts w:hint="eastAsia" w:ascii="方正仿宋_GBK" w:hAnsi="方正仿宋_GBK" w:eastAsia="方正仿宋_GBK" w:cs="方正仿宋_GBK"/>
          <w:color w:val="auto"/>
          <w:sz w:val="30"/>
          <w:szCs w:val="30"/>
        </w:rPr>
        <w:t>（盖章）</w:t>
      </w:r>
      <w:r>
        <w:rPr>
          <w:rFonts w:hint="eastAsia" w:ascii="方正仿宋_GBK" w:hAnsi="方正仿宋_GBK" w:eastAsia="方正仿宋_GBK" w:cs="方正仿宋_GBK"/>
          <w:color w:val="auto"/>
          <w:sz w:val="30"/>
          <w:szCs w:val="30"/>
          <w:lang w:val="en-US" w:eastAsia="zh-CN"/>
        </w:rPr>
        <w:t>：</w:t>
      </w:r>
    </w:p>
    <w:p w14:paraId="798FDD8B">
      <w:pPr>
        <w:spacing w:beforeAutospacing="0" w:line="480" w:lineRule="auto"/>
        <w:jc w:val="left"/>
        <w:rPr>
          <w:rFonts w:hint="eastAsia"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lang w:val="en-US" w:eastAsia="zh-CN"/>
        </w:rPr>
        <w:t>联系地址：</w:t>
      </w:r>
    </w:p>
    <w:p w14:paraId="672EB447">
      <w:pPr>
        <w:spacing w:beforeAutospacing="0" w:line="480" w:lineRule="auto"/>
        <w:jc w:val="left"/>
        <w:rPr>
          <w:rFonts w:hint="eastAsia"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lang w:val="en-US" w:eastAsia="zh-CN"/>
        </w:rPr>
        <w:t>联系人：</w:t>
      </w:r>
    </w:p>
    <w:p w14:paraId="68242467">
      <w:pPr>
        <w:spacing w:beforeAutospacing="0" w:line="480" w:lineRule="auto"/>
        <w:jc w:val="left"/>
        <w:rPr>
          <w:rFonts w:hint="eastAsia" w:ascii="方正仿宋_GBK" w:hAnsi="方正仿宋_GBK" w:eastAsia="方正仿宋_GBK" w:cs="方正仿宋_GBK"/>
          <w:color w:val="auto"/>
          <w:sz w:val="30"/>
          <w:szCs w:val="30"/>
          <w:lang w:val="en-US" w:eastAsia="zh-CN"/>
        </w:rPr>
      </w:pPr>
      <w:r>
        <w:rPr>
          <w:rFonts w:hint="eastAsia" w:ascii="方正仿宋_GBK" w:hAnsi="方正仿宋_GBK" w:eastAsia="方正仿宋_GBK" w:cs="方正仿宋_GBK"/>
          <w:color w:val="auto"/>
          <w:sz w:val="30"/>
          <w:szCs w:val="30"/>
          <w:lang w:val="en-US" w:eastAsia="zh-CN"/>
        </w:rPr>
        <w:t>联系电话：</w:t>
      </w:r>
    </w:p>
    <w:p w14:paraId="2569AFC0">
      <w:pPr>
        <w:spacing w:line="480" w:lineRule="auto"/>
        <w:jc w:val="left"/>
        <w:rPr>
          <w:rFonts w:hint="eastAsia" w:asciiTheme="minorEastAsia" w:hAnsiTheme="minorEastAsia" w:eastAsiaTheme="minorEastAsia" w:cstheme="minorEastAsia"/>
          <w:color w:val="auto"/>
          <w:sz w:val="30"/>
          <w:szCs w:val="30"/>
          <w:lang w:val="en-US" w:eastAsia="zh-CN"/>
        </w:rPr>
      </w:pPr>
    </w:p>
    <w:p w14:paraId="71B24F90">
      <w:pPr>
        <w:rPr>
          <w:color w:val="auto"/>
        </w:rPr>
      </w:pPr>
    </w:p>
    <w:p w14:paraId="69346EFE">
      <w:pPr>
        <w:rPr>
          <w:color w:val="auto"/>
        </w:rPr>
      </w:pPr>
    </w:p>
    <w:p w14:paraId="5F11C48B">
      <w:bookmarkStart w:id="1" w:name="_GoBack"/>
      <w:bookmarkEnd w:id="1"/>
    </w:p>
    <w:sectPr>
      <w:pgSz w:w="11906" w:h="16838"/>
      <w:pgMar w:top="1587" w:right="1417" w:bottom="147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F425E4"/>
    <w:multiLevelType w:val="multilevel"/>
    <w:tmpl w:val="43F425E4"/>
    <w:lvl w:ilvl="0" w:tentative="0">
      <w:start w:val="1"/>
      <w:numFmt w:val="chineseCountingThousand"/>
      <w:pStyle w:val="7"/>
      <w:lvlText w:val="%1."/>
      <w:lvlJc w:val="left"/>
      <w:pPr>
        <w:ind w:left="0" w:firstLine="0"/>
      </w:pPr>
      <w:rPr>
        <w:rFonts w:hint="eastAsia"/>
        <w:b/>
        <w:lang w:val="en-US"/>
      </w:rPr>
    </w:lvl>
    <w:lvl w:ilvl="1" w:tentative="0">
      <w:start w:val="1"/>
      <w:numFmt w:val="decimal"/>
      <w:isLgl/>
      <w:lvlText w:val="%1.%2"/>
      <w:lvlJc w:val="left"/>
      <w:pPr>
        <w:ind w:left="0" w:firstLine="0"/>
      </w:pPr>
      <w:rPr>
        <w:rFonts w:hint="default" w:ascii="Arial" w:hAnsi="Arial"/>
      </w:rPr>
    </w:lvl>
    <w:lvl w:ilvl="2" w:tentative="0">
      <w:start w:val="1"/>
      <w:numFmt w:val="decimal"/>
      <w:isLgl/>
      <w:lvlText w:val="%1.%2.%3"/>
      <w:lvlJc w:val="left"/>
      <w:pPr>
        <w:ind w:left="0" w:firstLine="0"/>
      </w:pPr>
      <w:rPr>
        <w:rFonts w:hint="eastAsia"/>
      </w:rPr>
    </w:lvl>
    <w:lvl w:ilvl="3" w:tentative="0">
      <w:start w:val="1"/>
      <w:numFmt w:val="decimal"/>
      <w:isLgl/>
      <w:lvlText w:val="%1.%2.%3.%4"/>
      <w:lvlJc w:val="left"/>
      <w:pPr>
        <w:ind w:left="0" w:firstLine="0"/>
      </w:pPr>
      <w:rPr>
        <w:rFonts w:hint="default" w:ascii="Arial" w:hAnsi="Arial"/>
        <w:b/>
      </w:rPr>
    </w:lvl>
    <w:lvl w:ilvl="4" w:tentative="0">
      <w:start w:val="1"/>
      <w:numFmt w:val="decimal"/>
      <w:lvlText w:val="%2.%3.1.%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27F1F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Salutation"/>
    <w:basedOn w:val="1"/>
    <w:next w:val="1"/>
    <w:qFormat/>
    <w:uiPriority w:val="0"/>
    <w:rPr>
      <w:rFonts w:ascii="Calibri" w:hAnsi="Calibri" w:eastAsia="宋体"/>
      <w:szCs w:val="22"/>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Q1"/>
    <w:basedOn w:val="3"/>
    <w:next w:val="8"/>
    <w:qFormat/>
    <w:uiPriority w:val="0"/>
    <w:pPr>
      <w:numPr>
        <w:ilvl w:val="0"/>
        <w:numId w:val="1"/>
      </w:numPr>
      <w:spacing w:beforeLines="50" w:afterLines="50" w:line="240" w:lineRule="auto"/>
      <w:jc w:val="center"/>
    </w:pPr>
    <w:rPr>
      <w:rFonts w:ascii="Arial" w:hAnsi="Arial" w:eastAsia="黑体"/>
      <w:sz w:val="32"/>
    </w:rPr>
  </w:style>
  <w:style w:type="paragraph" w:customStyle="1" w:styleId="8">
    <w:name w:val="Q"/>
    <w:qFormat/>
    <w:uiPriority w:val="0"/>
    <w:pPr>
      <w:spacing w:beforeLines="50" w:afterLines="50" w:line="360" w:lineRule="auto"/>
      <w:ind w:firstLine="200" w:firstLineChars="200"/>
    </w:pPr>
    <w:rPr>
      <w:rFonts w:ascii="Arial" w:hAnsi="Arial" w:eastAsia="仿宋" w:cs="Times New Roman"/>
      <w:bCs/>
      <w:kern w:val="2"/>
      <w:sz w:val="32"/>
      <w:szCs w:val="28"/>
      <w:lang w:val="en-US" w:eastAsia="zh-CN" w:bidi="ar-SA"/>
    </w:rPr>
  </w:style>
  <w:style w:type="paragraph" w:customStyle="1" w:styleId="9">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2026-10-14T04:24:04Z</dcterms:created>
  <dc:creator>ST</dc:creator>
  <cp:lastModifiedBy>微信用户</cp:lastModifiedBy>
  <dcterms:modified xsi:type="dcterms:W3CDTF">2026-10-14T04:24:13Z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eyJoZGlkIjoiZGZmNWRlM2VjMDdhYjlhNWM3OWIzZWM2ZGQ1ZWYyYTQiLCJ1c2VySWQiOiIxMjMwMjY2ODk0In0=</vt:lpwstr>
  </property>
  <property fmtid="{D5CDD505-2E9C-101B-9397-08002B2CF9AE}" pid="4" name="ICV">
    <vt:lpwstr>BE8E673FDB844D5AB384FC8F0B60B815_12</vt:lpwstr>
  </property>
</Properties>
</file>